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87" w:rsidRPr="000D50FF" w:rsidRDefault="00B87387" w:rsidP="00937FB2">
      <w:pPr>
        <w:rPr>
          <w:rFonts w:ascii="Garamond" w:eastAsia="Times New Roman" w:hAnsi="Garamond" w:cs="Times New Roman"/>
          <w:b/>
          <w:color w:val="000000" w:themeColor="text1"/>
          <w:sz w:val="28"/>
          <w:szCs w:val="28"/>
          <w:lang w:eastAsia="en-GB"/>
        </w:rPr>
      </w:pPr>
      <w:r w:rsidRPr="000D50FF">
        <w:rPr>
          <w:rFonts w:ascii="Garamond" w:eastAsia="Times New Roman" w:hAnsi="Garamond" w:cs="Times New Roman"/>
          <w:b/>
          <w:color w:val="000000" w:themeColor="text1"/>
          <w:sz w:val="28"/>
          <w:szCs w:val="28"/>
          <w:lang w:eastAsia="en-GB"/>
        </w:rPr>
        <w:t>The Cromwell Association 2017 Study Day – Saturday 7</w:t>
      </w:r>
      <w:r w:rsidRPr="000D50FF">
        <w:rPr>
          <w:rFonts w:ascii="Garamond" w:eastAsia="Times New Roman" w:hAnsi="Garamond" w:cs="Times New Roman"/>
          <w:b/>
          <w:color w:val="000000" w:themeColor="text1"/>
          <w:sz w:val="28"/>
          <w:szCs w:val="28"/>
          <w:vertAlign w:val="superscript"/>
          <w:lang w:eastAsia="en-GB"/>
        </w:rPr>
        <w:t>th</w:t>
      </w:r>
      <w:r w:rsidRPr="000D50FF">
        <w:rPr>
          <w:rFonts w:ascii="Garamond" w:eastAsia="Times New Roman" w:hAnsi="Garamond" w:cs="Times New Roman"/>
          <w:b/>
          <w:color w:val="000000" w:themeColor="text1"/>
          <w:sz w:val="28"/>
          <w:szCs w:val="28"/>
          <w:lang w:eastAsia="en-GB"/>
        </w:rPr>
        <w:t xml:space="preserve"> October 2017</w:t>
      </w:r>
    </w:p>
    <w:p w:rsidR="004D0DF4" w:rsidRPr="00B87387" w:rsidRDefault="004D0DF4" w:rsidP="00937FB2">
      <w:pPr>
        <w:rPr>
          <w:rFonts w:ascii="Garamond" w:eastAsia="Times New Roman" w:hAnsi="Garamond" w:cs="Times New Roman"/>
          <w:b/>
          <w:color w:val="000000" w:themeColor="text1"/>
          <w:sz w:val="32"/>
          <w:szCs w:val="32"/>
          <w:lang w:eastAsia="en-GB"/>
        </w:rPr>
      </w:pPr>
      <w:r w:rsidRPr="00B87387">
        <w:rPr>
          <w:rFonts w:ascii="Garamond" w:eastAsia="Times New Roman" w:hAnsi="Garamond" w:cs="Times New Roman"/>
          <w:b/>
          <w:color w:val="000000" w:themeColor="text1"/>
          <w:sz w:val="32"/>
          <w:szCs w:val="32"/>
          <w:lang w:eastAsia="en-GB"/>
        </w:rPr>
        <w:t>Cromwell and Europe</w:t>
      </w:r>
    </w:p>
    <w:p w:rsidR="004D0DF4" w:rsidRDefault="002A1842" w:rsidP="00937FB2">
      <w:pPr>
        <w:rPr>
          <w:rFonts w:ascii="Garamond" w:eastAsia="Times New Roman" w:hAnsi="Garamond" w:cs="Times New Roman"/>
          <w:color w:val="000000" w:themeColor="text1"/>
          <w:sz w:val="20"/>
          <w:szCs w:val="20"/>
          <w:lang w:eastAsia="en-GB"/>
        </w:rPr>
      </w:pPr>
      <w:r w:rsidRPr="00B87387">
        <w:rPr>
          <w:rFonts w:ascii="Garamond" w:eastAsia="Times New Roman" w:hAnsi="Garamond" w:cs="Times New Roman"/>
          <w:color w:val="000000" w:themeColor="text1"/>
          <w:sz w:val="20"/>
          <w:szCs w:val="20"/>
          <w:lang w:eastAsia="en-GB"/>
        </w:rPr>
        <w:t>As the United Kingdom prepares to disengage with the European Union, what was happening in Europe during the English civil wars, th</w:t>
      </w:r>
      <w:r w:rsidR="005F2C7A" w:rsidRPr="00B87387">
        <w:rPr>
          <w:rFonts w:ascii="Garamond" w:eastAsia="Times New Roman" w:hAnsi="Garamond" w:cs="Times New Roman"/>
          <w:color w:val="000000" w:themeColor="text1"/>
          <w:sz w:val="20"/>
          <w:szCs w:val="20"/>
          <w:lang w:eastAsia="en-GB"/>
        </w:rPr>
        <w:t xml:space="preserve">e Commonwealth and Protectorate? </w:t>
      </w:r>
      <w:r w:rsidRPr="00B87387">
        <w:rPr>
          <w:rFonts w:ascii="Garamond" w:eastAsia="Times New Roman" w:hAnsi="Garamond" w:cs="Times New Roman"/>
          <w:color w:val="000000" w:themeColor="text1"/>
          <w:sz w:val="20"/>
          <w:szCs w:val="20"/>
          <w:lang w:eastAsia="en-GB"/>
        </w:rPr>
        <w:t xml:space="preserve">  Did Cromwell want to </w:t>
      </w:r>
      <w:r w:rsidR="005F2C7A" w:rsidRPr="00B87387">
        <w:rPr>
          <w:rFonts w:ascii="Garamond" w:eastAsia="Times New Roman" w:hAnsi="Garamond" w:cs="Times New Roman"/>
          <w:color w:val="000000" w:themeColor="text1"/>
          <w:sz w:val="20"/>
          <w:szCs w:val="20"/>
          <w:lang w:eastAsia="en-GB"/>
        </w:rPr>
        <w:t>engage with Europe or was he an</w:t>
      </w:r>
      <w:r w:rsidRPr="00B87387">
        <w:rPr>
          <w:rFonts w:ascii="Garamond" w:eastAsia="Times New Roman" w:hAnsi="Garamond" w:cs="Times New Roman"/>
          <w:color w:val="000000" w:themeColor="text1"/>
          <w:sz w:val="20"/>
          <w:szCs w:val="20"/>
          <w:lang w:eastAsia="en-GB"/>
        </w:rPr>
        <w:t xml:space="preserve"> isolationist?  This Study Day, with five contributions on different aspects of the theme, will provide context for, and at times perhaps surprising details of, Cromwell’s views on Europe.</w:t>
      </w:r>
    </w:p>
    <w:p w:rsidR="004D0DF4" w:rsidRPr="00B87387" w:rsidRDefault="002A1842" w:rsidP="00937FB2">
      <w:pPr>
        <w:rPr>
          <w:rFonts w:ascii="Garamond" w:eastAsia="Times New Roman" w:hAnsi="Garamond" w:cs="Times New Roman"/>
          <w:b/>
          <w:color w:val="000000" w:themeColor="text1"/>
          <w:sz w:val="20"/>
          <w:szCs w:val="20"/>
          <w:lang w:eastAsia="en-GB"/>
        </w:rPr>
      </w:pPr>
      <w:r w:rsidRPr="00B87387">
        <w:rPr>
          <w:rFonts w:ascii="Garamond" w:eastAsia="Times New Roman" w:hAnsi="Garamond" w:cs="Times New Roman"/>
          <w:b/>
          <w:color w:val="000000" w:themeColor="text1"/>
          <w:sz w:val="20"/>
          <w:szCs w:val="20"/>
          <w:lang w:eastAsia="en-GB"/>
        </w:rPr>
        <w:t>Programme</w:t>
      </w:r>
    </w:p>
    <w:p w:rsidR="002A1842" w:rsidRPr="00B87387" w:rsidRDefault="002A1842" w:rsidP="00937FB2">
      <w:pPr>
        <w:rPr>
          <w:rFonts w:ascii="Garamond" w:eastAsia="Times New Roman" w:hAnsi="Garamond" w:cs="Times New Roman"/>
          <w:b/>
          <w:color w:val="000000" w:themeColor="text1"/>
          <w:sz w:val="20"/>
          <w:szCs w:val="20"/>
          <w:lang w:eastAsia="en-GB"/>
        </w:rPr>
      </w:pPr>
      <w:r w:rsidRPr="00B87387">
        <w:rPr>
          <w:rFonts w:ascii="Garamond" w:eastAsia="Times New Roman" w:hAnsi="Garamond" w:cs="Times New Roman"/>
          <w:b/>
          <w:color w:val="000000" w:themeColor="text1"/>
          <w:sz w:val="20"/>
          <w:szCs w:val="20"/>
          <w:lang w:eastAsia="en-GB"/>
        </w:rPr>
        <w:t>10.30</w:t>
      </w:r>
      <w:r w:rsidRPr="00B87387">
        <w:rPr>
          <w:rFonts w:ascii="Garamond" w:eastAsia="Times New Roman" w:hAnsi="Garamond" w:cs="Times New Roman"/>
          <w:b/>
          <w:color w:val="000000" w:themeColor="text1"/>
          <w:sz w:val="20"/>
          <w:szCs w:val="20"/>
          <w:lang w:eastAsia="en-GB"/>
        </w:rPr>
        <w:tab/>
        <w:t>Registration and coffee</w:t>
      </w:r>
    </w:p>
    <w:p w:rsidR="002A1842" w:rsidRPr="00B87387" w:rsidRDefault="002A1842" w:rsidP="00937FB2">
      <w:pPr>
        <w:rPr>
          <w:rFonts w:ascii="Garamond" w:eastAsia="Times New Roman" w:hAnsi="Garamond" w:cs="Times New Roman"/>
          <w:b/>
          <w:color w:val="000000" w:themeColor="text1"/>
          <w:sz w:val="20"/>
          <w:szCs w:val="20"/>
          <w:lang w:eastAsia="en-GB"/>
        </w:rPr>
      </w:pPr>
      <w:r w:rsidRPr="00B87387">
        <w:rPr>
          <w:rFonts w:ascii="Garamond" w:eastAsia="Times New Roman" w:hAnsi="Garamond" w:cs="Times New Roman"/>
          <w:b/>
          <w:color w:val="000000" w:themeColor="text1"/>
          <w:sz w:val="20"/>
          <w:szCs w:val="20"/>
          <w:lang w:eastAsia="en-GB"/>
        </w:rPr>
        <w:t>11.00</w:t>
      </w:r>
      <w:r w:rsidRPr="00B87387">
        <w:rPr>
          <w:rFonts w:ascii="Garamond" w:eastAsia="Times New Roman" w:hAnsi="Garamond" w:cs="Times New Roman"/>
          <w:b/>
          <w:color w:val="000000" w:themeColor="text1"/>
          <w:sz w:val="20"/>
          <w:szCs w:val="20"/>
          <w:lang w:eastAsia="en-GB"/>
        </w:rPr>
        <w:tab/>
        <w:t>Welcome and introduction. Professor Peter Gaunt, University of Chester</w:t>
      </w:r>
      <w:proofErr w:type="gramStart"/>
      <w:r w:rsidR="00E47F80" w:rsidRPr="00B87387">
        <w:rPr>
          <w:rFonts w:ascii="Garamond" w:eastAsia="Times New Roman" w:hAnsi="Garamond" w:cs="Times New Roman"/>
          <w:b/>
          <w:color w:val="000000" w:themeColor="text1"/>
          <w:sz w:val="20"/>
          <w:szCs w:val="20"/>
          <w:lang w:eastAsia="en-GB"/>
        </w:rPr>
        <w:t xml:space="preserve">, </w:t>
      </w:r>
      <w:r w:rsidRPr="00B87387">
        <w:rPr>
          <w:rFonts w:ascii="Garamond" w:eastAsia="Times New Roman" w:hAnsi="Garamond" w:cs="Times New Roman"/>
          <w:b/>
          <w:color w:val="000000" w:themeColor="text1"/>
          <w:sz w:val="20"/>
          <w:szCs w:val="20"/>
          <w:lang w:eastAsia="en-GB"/>
        </w:rPr>
        <w:t xml:space="preserve"> and</w:t>
      </w:r>
      <w:proofErr w:type="gramEnd"/>
      <w:r w:rsidRPr="00B87387">
        <w:rPr>
          <w:rFonts w:ascii="Garamond" w:eastAsia="Times New Roman" w:hAnsi="Garamond" w:cs="Times New Roman"/>
          <w:b/>
          <w:color w:val="000000" w:themeColor="text1"/>
          <w:sz w:val="20"/>
          <w:szCs w:val="20"/>
          <w:lang w:eastAsia="en-GB"/>
        </w:rPr>
        <w:t xml:space="preserve"> President of the Cromwell Association. </w:t>
      </w:r>
    </w:p>
    <w:p w:rsidR="002A1842" w:rsidRPr="00B87387" w:rsidRDefault="002A1842" w:rsidP="00937FB2">
      <w:pPr>
        <w:rPr>
          <w:rFonts w:ascii="Garamond" w:eastAsia="Times New Roman" w:hAnsi="Garamond" w:cs="Times New Roman"/>
          <w:b/>
          <w:color w:val="000000" w:themeColor="text1"/>
          <w:sz w:val="20"/>
          <w:szCs w:val="20"/>
          <w:lang w:eastAsia="en-GB"/>
        </w:rPr>
      </w:pPr>
    </w:p>
    <w:p w:rsidR="00937FB2" w:rsidRPr="00B87387" w:rsidRDefault="00E47F80" w:rsidP="00937FB2">
      <w:pPr>
        <w:rPr>
          <w:rFonts w:ascii="Garamond" w:eastAsia="Times New Roman" w:hAnsi="Garamond" w:cs="Times New Roman"/>
          <w:b/>
          <w:color w:val="000000" w:themeColor="text1"/>
          <w:sz w:val="20"/>
          <w:szCs w:val="20"/>
          <w:lang w:eastAsia="en-GB"/>
        </w:rPr>
      </w:pPr>
      <w:r w:rsidRPr="00B87387">
        <w:rPr>
          <w:rFonts w:ascii="Garamond" w:eastAsia="Times New Roman" w:hAnsi="Garamond" w:cs="Times New Roman"/>
          <w:b/>
          <w:color w:val="000000" w:themeColor="text1"/>
          <w:sz w:val="20"/>
          <w:szCs w:val="20"/>
          <w:lang w:eastAsia="en-GB"/>
        </w:rPr>
        <w:t>11.10</w:t>
      </w:r>
      <w:r w:rsidRPr="00B87387">
        <w:rPr>
          <w:rFonts w:ascii="Garamond" w:eastAsia="Times New Roman" w:hAnsi="Garamond" w:cs="Times New Roman"/>
          <w:b/>
          <w:color w:val="000000" w:themeColor="text1"/>
          <w:sz w:val="20"/>
          <w:szCs w:val="20"/>
          <w:lang w:eastAsia="en-GB"/>
        </w:rPr>
        <w:tab/>
      </w:r>
      <w:r w:rsidR="00937FB2" w:rsidRPr="00B87387">
        <w:rPr>
          <w:rFonts w:ascii="Garamond" w:eastAsia="Times New Roman" w:hAnsi="Garamond" w:cs="Times New Roman"/>
          <w:b/>
          <w:color w:val="000000" w:themeColor="text1"/>
          <w:sz w:val="20"/>
          <w:szCs w:val="20"/>
          <w:lang w:eastAsia="en-GB"/>
        </w:rPr>
        <w:t>Understanding the Thirty Years War</w:t>
      </w:r>
    </w:p>
    <w:p w:rsidR="00204E02" w:rsidRPr="00B87387" w:rsidRDefault="00204E02" w:rsidP="00937FB2">
      <w:pPr>
        <w:rPr>
          <w:rFonts w:ascii="Garamond" w:eastAsia="Times New Roman" w:hAnsi="Garamond" w:cs="Times New Roman"/>
          <w:b/>
          <w:color w:val="000000" w:themeColor="text1"/>
          <w:sz w:val="20"/>
          <w:szCs w:val="20"/>
          <w:lang w:eastAsia="en-GB"/>
        </w:rPr>
      </w:pPr>
      <w:r w:rsidRPr="00B87387">
        <w:rPr>
          <w:rFonts w:ascii="Garamond" w:eastAsia="Times New Roman" w:hAnsi="Garamond" w:cs="Times New Roman"/>
          <w:b/>
          <w:noProof/>
          <w:color w:val="000000" w:themeColor="text1"/>
          <w:sz w:val="20"/>
          <w:szCs w:val="20"/>
          <w:lang w:eastAsia="en-GB"/>
        </w:rPr>
        <w:drawing>
          <wp:inline distT="0" distB="0" distL="0" distR="0" wp14:anchorId="03F2B67D" wp14:editId="114F7A28">
            <wp:extent cx="1178677" cy="157156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son P.jpg"/>
                    <pic:cNvPicPr/>
                  </pic:nvPicPr>
                  <pic:blipFill>
                    <a:blip r:embed="rId8">
                      <a:extLst>
                        <a:ext uri="{28A0092B-C50C-407E-A947-70E740481C1C}">
                          <a14:useLocalDpi xmlns:a14="http://schemas.microsoft.com/office/drawing/2010/main" val="0"/>
                        </a:ext>
                      </a:extLst>
                    </a:blip>
                    <a:stretch>
                      <a:fillRect/>
                    </a:stretch>
                  </pic:blipFill>
                  <pic:spPr>
                    <a:xfrm>
                      <a:off x="0" y="0"/>
                      <a:ext cx="1180041" cy="1573388"/>
                    </a:xfrm>
                    <a:prstGeom prst="rect">
                      <a:avLst/>
                    </a:prstGeom>
                  </pic:spPr>
                </pic:pic>
              </a:graphicData>
            </a:graphic>
          </wp:inline>
        </w:drawing>
      </w:r>
    </w:p>
    <w:p w:rsidR="00937FB2" w:rsidRPr="00B87387" w:rsidRDefault="00DE5123" w:rsidP="00937FB2">
      <w:pPr>
        <w:rPr>
          <w:rFonts w:ascii="Garamond" w:eastAsia="Times New Roman" w:hAnsi="Garamond" w:cs="Times New Roman"/>
          <w:color w:val="1F497D"/>
          <w:sz w:val="20"/>
          <w:szCs w:val="20"/>
          <w:lang w:eastAsia="en-GB"/>
        </w:rPr>
      </w:pPr>
      <w:r w:rsidRPr="00B87387">
        <w:rPr>
          <w:rFonts w:ascii="Garamond" w:eastAsia="Times New Roman" w:hAnsi="Garamond" w:cs="Times New Roman"/>
          <w:b/>
          <w:bCs/>
          <w:sz w:val="20"/>
          <w:szCs w:val="20"/>
        </w:rPr>
        <w:t xml:space="preserve">Peter H. Wilson, </w:t>
      </w:r>
      <w:proofErr w:type="spellStart"/>
      <w:r w:rsidR="00937FB2" w:rsidRPr="00B87387">
        <w:rPr>
          <w:rFonts w:ascii="Garamond" w:eastAsia="Times New Roman" w:hAnsi="Garamond" w:cs="Times New Roman"/>
          <w:sz w:val="20"/>
          <w:szCs w:val="20"/>
        </w:rPr>
        <w:t>Chichele</w:t>
      </w:r>
      <w:proofErr w:type="spellEnd"/>
      <w:r w:rsidR="00937FB2" w:rsidRPr="00B87387">
        <w:rPr>
          <w:rFonts w:ascii="Garamond" w:eastAsia="Times New Roman" w:hAnsi="Garamond" w:cs="Times New Roman"/>
          <w:sz w:val="20"/>
          <w:szCs w:val="20"/>
        </w:rPr>
        <w:t xml:space="preserve"> Professor of the History of War</w:t>
      </w:r>
      <w:r w:rsidR="00937FB2" w:rsidRPr="00B87387">
        <w:rPr>
          <w:rFonts w:ascii="Garamond" w:eastAsia="Times New Roman" w:hAnsi="Garamond" w:cs="Times New Roman"/>
          <w:b/>
          <w:bCs/>
          <w:sz w:val="20"/>
          <w:szCs w:val="20"/>
        </w:rPr>
        <w:t xml:space="preserve"> </w:t>
      </w:r>
      <w:r w:rsidR="00937FB2" w:rsidRPr="00B87387">
        <w:rPr>
          <w:rFonts w:ascii="Garamond" w:eastAsia="Times New Roman" w:hAnsi="Garamond" w:cs="Times New Roman"/>
          <w:sz w:val="20"/>
          <w:szCs w:val="20"/>
        </w:rPr>
        <w:t>at the University of Oxford</w:t>
      </w:r>
    </w:p>
    <w:p w:rsidR="00204E02" w:rsidRPr="00204E02" w:rsidRDefault="00204E02" w:rsidP="00204E02">
      <w:pPr>
        <w:spacing w:after="0" w:line="240" w:lineRule="auto"/>
        <w:rPr>
          <w:rFonts w:ascii="Garamond" w:eastAsia="Times New Roman" w:hAnsi="Garamond" w:cs="Times New Roman"/>
          <w:sz w:val="20"/>
          <w:szCs w:val="20"/>
        </w:rPr>
      </w:pPr>
      <w:r w:rsidRPr="00204E02">
        <w:rPr>
          <w:rFonts w:ascii="Garamond" w:eastAsia="Times New Roman" w:hAnsi="Garamond" w:cs="Times New Roman"/>
          <w:sz w:val="20"/>
          <w:szCs w:val="20"/>
        </w:rPr>
        <w:t>The Thirty Years War was the most destructive conflict in European history prior to the two twentieth-century world wars. It has variously been presented as the last and greatest of an age of religious wars, or as the culmination of a struggle over potential Spanish hegemony across Europe. In this paper, Peter Wilson argues that most attempts to explain the war confuse rather than clarify what it was actually about. Contemporaries recognised the Thirty Years War as a distinct struggle over the religious and political order in the Holy Roman Empire that began with the Defenestration of Prague in May 1618 and ended in the Peace of Westphalia in October 1648. The paper will explain the causes, outline the conduct, and examine how and why peace was finally made.</w:t>
      </w:r>
    </w:p>
    <w:p w:rsidR="00204E02" w:rsidRPr="00204E02" w:rsidRDefault="00204E02" w:rsidP="00204E02">
      <w:pPr>
        <w:spacing w:after="0" w:line="240" w:lineRule="auto"/>
        <w:rPr>
          <w:rFonts w:ascii="Garamond" w:eastAsia="Times New Roman" w:hAnsi="Garamond" w:cs="Times New Roman"/>
          <w:sz w:val="20"/>
          <w:szCs w:val="20"/>
          <w:lang w:eastAsia="en-GB"/>
        </w:rPr>
      </w:pPr>
      <w:r w:rsidRPr="00204E02">
        <w:rPr>
          <w:rFonts w:ascii="Garamond" w:eastAsia="Times New Roman" w:hAnsi="Garamond" w:cs="Times New Roman"/>
          <w:color w:val="1F497D"/>
          <w:sz w:val="20"/>
          <w:szCs w:val="20"/>
          <w:lang w:eastAsia="en-GB"/>
        </w:rPr>
        <w:t> </w:t>
      </w:r>
    </w:p>
    <w:p w:rsidR="00204E02" w:rsidRDefault="00204E02" w:rsidP="00204E02">
      <w:pPr>
        <w:spacing w:after="0" w:line="240" w:lineRule="auto"/>
        <w:rPr>
          <w:rFonts w:ascii="Garamond" w:eastAsia="Times New Roman" w:hAnsi="Garamond" w:cs="Times New Roman"/>
          <w:sz w:val="20"/>
          <w:szCs w:val="20"/>
        </w:rPr>
      </w:pPr>
      <w:r w:rsidRPr="00204E02">
        <w:rPr>
          <w:rFonts w:ascii="Garamond" w:eastAsia="Times New Roman" w:hAnsi="Garamond" w:cs="Times New Roman"/>
          <w:b/>
          <w:bCs/>
          <w:sz w:val="20"/>
          <w:szCs w:val="20"/>
        </w:rPr>
        <w:t xml:space="preserve">Peter H. Wilson </w:t>
      </w:r>
      <w:r w:rsidRPr="00204E02">
        <w:rPr>
          <w:rFonts w:ascii="Garamond" w:eastAsia="Times New Roman" w:hAnsi="Garamond" w:cs="Times New Roman"/>
          <w:sz w:val="20"/>
          <w:szCs w:val="20"/>
        </w:rPr>
        <w:t xml:space="preserve">is </w:t>
      </w:r>
      <w:proofErr w:type="spellStart"/>
      <w:r w:rsidRPr="00204E02">
        <w:rPr>
          <w:rFonts w:ascii="Garamond" w:eastAsia="Times New Roman" w:hAnsi="Garamond" w:cs="Times New Roman"/>
          <w:sz w:val="20"/>
          <w:szCs w:val="20"/>
        </w:rPr>
        <w:t>Chichele</w:t>
      </w:r>
      <w:proofErr w:type="spellEnd"/>
      <w:r w:rsidRPr="00204E02">
        <w:rPr>
          <w:rFonts w:ascii="Garamond" w:eastAsia="Times New Roman" w:hAnsi="Garamond" w:cs="Times New Roman"/>
          <w:sz w:val="20"/>
          <w:szCs w:val="20"/>
        </w:rPr>
        <w:t xml:space="preserve"> Professor of the History of War</w:t>
      </w:r>
      <w:r w:rsidRPr="00204E02">
        <w:rPr>
          <w:rFonts w:ascii="Garamond" w:eastAsia="Times New Roman" w:hAnsi="Garamond" w:cs="Times New Roman"/>
          <w:b/>
          <w:bCs/>
          <w:sz w:val="20"/>
          <w:szCs w:val="20"/>
        </w:rPr>
        <w:t xml:space="preserve"> </w:t>
      </w:r>
      <w:r w:rsidRPr="00204E02">
        <w:rPr>
          <w:rFonts w:ascii="Garamond" w:eastAsia="Times New Roman" w:hAnsi="Garamond" w:cs="Times New Roman"/>
          <w:sz w:val="20"/>
          <w:szCs w:val="20"/>
        </w:rPr>
        <w:t xml:space="preserve">at the University of Oxford and a Fellow of All Souls College. He worked previously at the universities of Hull, Newcastle and Sunderland, and has been a visiting fellow at the University of </w:t>
      </w:r>
      <w:proofErr w:type="spellStart"/>
      <w:r w:rsidRPr="00204E02">
        <w:rPr>
          <w:rFonts w:ascii="Garamond" w:eastAsia="Times New Roman" w:hAnsi="Garamond" w:cs="Times New Roman"/>
          <w:sz w:val="20"/>
          <w:szCs w:val="20"/>
        </w:rPr>
        <w:t>Münster</w:t>
      </w:r>
      <w:proofErr w:type="spellEnd"/>
      <w:r w:rsidRPr="00204E02">
        <w:rPr>
          <w:rFonts w:ascii="Garamond" w:eastAsia="Times New Roman" w:hAnsi="Garamond" w:cs="Times New Roman"/>
          <w:sz w:val="20"/>
          <w:szCs w:val="20"/>
        </w:rPr>
        <w:t xml:space="preserve"> in Germany. His publications include </w:t>
      </w:r>
      <w:r w:rsidRPr="00204E02">
        <w:rPr>
          <w:rFonts w:ascii="Garamond" w:eastAsia="Times New Roman" w:hAnsi="Garamond" w:cs="Times New Roman"/>
          <w:i/>
          <w:iCs/>
          <w:sz w:val="20"/>
          <w:szCs w:val="20"/>
        </w:rPr>
        <w:t xml:space="preserve">The Holy Roman Empire: A Thousand Years of Europe’s History </w:t>
      </w:r>
      <w:r w:rsidRPr="00204E02">
        <w:rPr>
          <w:rFonts w:ascii="Garamond" w:eastAsia="Times New Roman" w:hAnsi="Garamond" w:cs="Times New Roman"/>
          <w:sz w:val="20"/>
          <w:szCs w:val="20"/>
        </w:rPr>
        <w:t xml:space="preserve">(2016) and </w:t>
      </w:r>
      <w:r w:rsidRPr="00204E02">
        <w:rPr>
          <w:rFonts w:ascii="Garamond" w:eastAsia="Times New Roman" w:hAnsi="Garamond" w:cs="Times New Roman"/>
          <w:i/>
          <w:iCs/>
          <w:sz w:val="20"/>
          <w:szCs w:val="20"/>
        </w:rPr>
        <w:t>Europe’s Tragedy: A History of the Thirty Years War</w:t>
      </w:r>
      <w:r w:rsidRPr="00204E02">
        <w:rPr>
          <w:rFonts w:ascii="Garamond" w:eastAsia="Times New Roman" w:hAnsi="Garamond" w:cs="Times New Roman"/>
          <w:sz w:val="20"/>
          <w:szCs w:val="20"/>
        </w:rPr>
        <w:t xml:space="preserve"> (2009) which won the Society for Military History’s Distinguished Book Award. His latest book, </w:t>
      </w:r>
      <w:proofErr w:type="spellStart"/>
      <w:r w:rsidRPr="00204E02">
        <w:rPr>
          <w:rFonts w:ascii="Garamond" w:eastAsia="Times New Roman" w:hAnsi="Garamond" w:cs="Times New Roman"/>
          <w:i/>
          <w:iCs/>
          <w:sz w:val="20"/>
          <w:szCs w:val="20"/>
        </w:rPr>
        <w:t>Lützen</w:t>
      </w:r>
      <w:proofErr w:type="spellEnd"/>
      <w:r w:rsidRPr="00204E02">
        <w:rPr>
          <w:rFonts w:ascii="Garamond" w:eastAsia="Times New Roman" w:hAnsi="Garamond" w:cs="Times New Roman"/>
          <w:i/>
          <w:iCs/>
          <w:sz w:val="20"/>
          <w:szCs w:val="20"/>
        </w:rPr>
        <w:t xml:space="preserve"> 1632</w:t>
      </w:r>
      <w:r w:rsidRPr="00204E02">
        <w:rPr>
          <w:rFonts w:ascii="Garamond" w:eastAsia="Times New Roman" w:hAnsi="Garamond" w:cs="Times New Roman"/>
          <w:sz w:val="20"/>
          <w:szCs w:val="20"/>
        </w:rPr>
        <w:t>, will be published later in January 2018 by Oxford University Press.</w:t>
      </w: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Default="00B87387" w:rsidP="00204E02">
      <w:pPr>
        <w:spacing w:after="0" w:line="240" w:lineRule="auto"/>
        <w:rPr>
          <w:rFonts w:ascii="Garamond" w:eastAsia="Times New Roman" w:hAnsi="Garamond" w:cs="Times New Roman"/>
          <w:sz w:val="20"/>
          <w:szCs w:val="20"/>
        </w:rPr>
      </w:pPr>
    </w:p>
    <w:p w:rsidR="00B87387" w:rsidRPr="00204E02" w:rsidRDefault="00B87387" w:rsidP="00204E02">
      <w:pPr>
        <w:spacing w:after="0" w:line="240" w:lineRule="auto"/>
        <w:rPr>
          <w:rFonts w:ascii="Garamond" w:eastAsia="Times New Roman" w:hAnsi="Garamond" w:cs="Times New Roman"/>
          <w:sz w:val="20"/>
          <w:szCs w:val="20"/>
        </w:rPr>
      </w:pPr>
    </w:p>
    <w:p w:rsidR="00937FB2" w:rsidRPr="00B87387" w:rsidRDefault="00204E02" w:rsidP="00B87387">
      <w:pPr>
        <w:spacing w:after="0" w:line="240" w:lineRule="auto"/>
        <w:rPr>
          <w:rFonts w:ascii="Garamond" w:eastAsia="Times New Roman" w:hAnsi="Garamond" w:cs="Tahoma"/>
          <w:b/>
          <w:bCs/>
          <w:color w:val="000000"/>
          <w:sz w:val="20"/>
          <w:szCs w:val="20"/>
          <w:lang w:eastAsia="en-GB"/>
        </w:rPr>
      </w:pPr>
      <w:r w:rsidRPr="00204E02">
        <w:rPr>
          <w:rFonts w:ascii="Garamond" w:eastAsia="Times New Roman" w:hAnsi="Garamond" w:cs="Times New Roman"/>
          <w:color w:val="1F497D"/>
          <w:sz w:val="20"/>
          <w:szCs w:val="20"/>
          <w:lang w:eastAsia="en-GB"/>
        </w:rPr>
        <w:t> </w:t>
      </w:r>
      <w:r w:rsidR="00E47F80" w:rsidRPr="00B87387">
        <w:rPr>
          <w:rFonts w:ascii="Garamond" w:eastAsia="Times New Roman" w:hAnsi="Garamond" w:cs="Tahoma"/>
          <w:b/>
          <w:bCs/>
          <w:color w:val="000000"/>
          <w:sz w:val="20"/>
          <w:szCs w:val="20"/>
          <w:lang w:eastAsia="en-GB"/>
        </w:rPr>
        <w:t>12.00</w:t>
      </w:r>
      <w:r w:rsidR="00E47F80" w:rsidRPr="00B87387">
        <w:rPr>
          <w:rFonts w:ascii="Garamond" w:eastAsia="Times New Roman" w:hAnsi="Garamond" w:cs="Tahoma"/>
          <w:b/>
          <w:bCs/>
          <w:color w:val="000000"/>
          <w:sz w:val="20"/>
          <w:szCs w:val="20"/>
          <w:lang w:eastAsia="en-GB"/>
        </w:rPr>
        <w:tab/>
      </w:r>
      <w:r w:rsidR="00937FB2" w:rsidRPr="00B87387">
        <w:rPr>
          <w:rFonts w:ascii="Garamond" w:eastAsia="Times New Roman" w:hAnsi="Garamond" w:cs="Tahoma"/>
          <w:b/>
          <w:bCs/>
          <w:color w:val="000000"/>
          <w:sz w:val="20"/>
          <w:szCs w:val="20"/>
          <w:lang w:eastAsia="en-GB"/>
        </w:rPr>
        <w:t>Consistency and contrast in Cromwell’s policy towards Europe</w:t>
      </w:r>
    </w:p>
    <w:p w:rsidR="00204E02" w:rsidRPr="00B87387" w:rsidRDefault="00204E02" w:rsidP="00937FB2">
      <w:pPr>
        <w:spacing w:before="100" w:beforeAutospacing="1" w:after="100" w:afterAutospacing="1" w:line="256" w:lineRule="auto"/>
        <w:rPr>
          <w:rFonts w:ascii="Garamond" w:eastAsia="Times New Roman" w:hAnsi="Garamond" w:cs="Tahoma"/>
          <w:b/>
          <w:bCs/>
          <w:color w:val="000000"/>
          <w:sz w:val="20"/>
          <w:szCs w:val="20"/>
          <w:lang w:eastAsia="en-GB"/>
        </w:rPr>
      </w:pPr>
      <w:r w:rsidRPr="00B87387">
        <w:rPr>
          <w:rFonts w:ascii="Garamond" w:eastAsia="Times New Roman" w:hAnsi="Garamond" w:cs="Tahoma"/>
          <w:b/>
          <w:bCs/>
          <w:noProof/>
          <w:color w:val="000000"/>
          <w:sz w:val="20"/>
          <w:szCs w:val="20"/>
          <w:lang w:eastAsia="en-GB"/>
        </w:rPr>
        <w:drawing>
          <wp:inline distT="0" distB="0" distL="0" distR="0" wp14:anchorId="006D21A3" wp14:editId="75B02C99">
            <wp:extent cx="1321388" cy="14084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h Dunthor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246" cy="1410473"/>
                    </a:xfrm>
                    <a:prstGeom prst="rect">
                      <a:avLst/>
                    </a:prstGeom>
                  </pic:spPr>
                </pic:pic>
              </a:graphicData>
            </a:graphic>
          </wp:inline>
        </w:drawing>
      </w:r>
    </w:p>
    <w:p w:rsidR="00937FB2" w:rsidRPr="00B87387" w:rsidRDefault="00937FB2" w:rsidP="00937FB2">
      <w:pPr>
        <w:spacing w:before="100" w:beforeAutospacing="1" w:after="100" w:afterAutospacing="1" w:line="256" w:lineRule="auto"/>
        <w:rPr>
          <w:rFonts w:ascii="Garamond" w:eastAsia="Times New Roman" w:hAnsi="Garamond" w:cs="Tahoma"/>
          <w:b/>
          <w:bCs/>
          <w:color w:val="000000"/>
          <w:sz w:val="20"/>
          <w:szCs w:val="20"/>
          <w:lang w:eastAsia="en-GB"/>
        </w:rPr>
      </w:pPr>
      <w:r w:rsidRPr="00D44D86">
        <w:rPr>
          <w:rFonts w:ascii="Garamond" w:eastAsia="Times New Roman" w:hAnsi="Garamond" w:cs="Tahoma"/>
          <w:b/>
          <w:color w:val="000000"/>
          <w:sz w:val="20"/>
          <w:szCs w:val="20"/>
          <w:lang w:eastAsia="en-GB"/>
        </w:rPr>
        <w:t xml:space="preserve">Hugh </w:t>
      </w:r>
      <w:proofErr w:type="spellStart"/>
      <w:proofErr w:type="gramStart"/>
      <w:r w:rsidRPr="00D44D86">
        <w:rPr>
          <w:rFonts w:ascii="Garamond" w:eastAsia="Times New Roman" w:hAnsi="Garamond" w:cs="Tahoma"/>
          <w:b/>
          <w:color w:val="000000"/>
          <w:sz w:val="20"/>
          <w:szCs w:val="20"/>
          <w:lang w:eastAsia="en-GB"/>
        </w:rPr>
        <w:t>Dunthorne</w:t>
      </w:r>
      <w:proofErr w:type="spellEnd"/>
      <w:r w:rsidRPr="00B87387">
        <w:rPr>
          <w:rFonts w:ascii="Garamond" w:eastAsia="Times New Roman" w:hAnsi="Garamond" w:cs="Tahoma"/>
          <w:color w:val="000000"/>
          <w:sz w:val="20"/>
          <w:szCs w:val="20"/>
          <w:lang w:eastAsia="en-GB"/>
        </w:rPr>
        <w:t xml:space="preserve"> </w:t>
      </w:r>
      <w:r w:rsidR="00DE5123" w:rsidRPr="00B87387">
        <w:rPr>
          <w:rFonts w:ascii="Garamond" w:eastAsia="Times New Roman" w:hAnsi="Garamond" w:cs="Tahoma"/>
          <w:color w:val="000000"/>
          <w:sz w:val="20"/>
          <w:szCs w:val="20"/>
          <w:lang w:eastAsia="en-GB"/>
        </w:rPr>
        <w:t>,</w:t>
      </w:r>
      <w:proofErr w:type="gramEnd"/>
      <w:r w:rsidRPr="00B87387">
        <w:rPr>
          <w:rFonts w:ascii="Garamond" w:eastAsia="Times New Roman" w:hAnsi="Garamond" w:cs="Tahoma"/>
          <w:color w:val="000000"/>
          <w:sz w:val="20"/>
          <w:szCs w:val="20"/>
          <w:lang w:eastAsia="en-GB"/>
        </w:rPr>
        <w:t xml:space="preserve"> History Department at Swansea University, </w:t>
      </w:r>
      <w:r w:rsidR="00DE5123" w:rsidRPr="00B87387">
        <w:rPr>
          <w:rFonts w:ascii="Garamond" w:eastAsia="Times New Roman" w:hAnsi="Garamond" w:cs="Tahoma"/>
          <w:color w:val="000000"/>
          <w:sz w:val="20"/>
          <w:szCs w:val="20"/>
          <w:lang w:eastAsia="en-GB"/>
        </w:rPr>
        <w:t>(retired</w:t>
      </w:r>
      <w:r w:rsidRPr="00B87387">
        <w:rPr>
          <w:rFonts w:ascii="Garamond" w:eastAsia="Times New Roman" w:hAnsi="Garamond" w:cs="Tahoma"/>
          <w:color w:val="000000"/>
          <w:sz w:val="20"/>
          <w:szCs w:val="20"/>
          <w:lang w:eastAsia="en-GB"/>
        </w:rPr>
        <w:t xml:space="preserve"> 2009</w:t>
      </w:r>
      <w:r w:rsidR="00DE5123" w:rsidRPr="00B87387">
        <w:rPr>
          <w:rFonts w:ascii="Garamond" w:eastAsia="Times New Roman" w:hAnsi="Garamond" w:cs="Tahoma"/>
          <w:color w:val="000000"/>
          <w:sz w:val="20"/>
          <w:szCs w:val="20"/>
          <w:lang w:eastAsia="en-GB"/>
        </w:rPr>
        <w:t>)</w:t>
      </w:r>
      <w:r w:rsidRPr="00B87387">
        <w:rPr>
          <w:rFonts w:ascii="Garamond" w:eastAsia="Times New Roman" w:hAnsi="Garamond" w:cs="Tahoma"/>
          <w:color w:val="000000"/>
          <w:sz w:val="20"/>
          <w:szCs w:val="20"/>
          <w:lang w:eastAsia="en-GB"/>
        </w:rPr>
        <w:t>.</w:t>
      </w:r>
    </w:p>
    <w:p w:rsidR="00204E02" w:rsidRPr="00204E02" w:rsidRDefault="00204E02" w:rsidP="00204E02">
      <w:pPr>
        <w:spacing w:before="100" w:beforeAutospacing="1" w:after="100" w:afterAutospacing="1" w:line="240" w:lineRule="auto"/>
        <w:rPr>
          <w:rFonts w:ascii="Garamond" w:eastAsia="Times New Roman" w:hAnsi="Garamond" w:cs="Times New Roman"/>
          <w:color w:val="000000"/>
          <w:sz w:val="20"/>
          <w:szCs w:val="20"/>
          <w:lang w:eastAsia="en-GB"/>
        </w:rPr>
      </w:pPr>
      <w:r w:rsidRPr="00204E02">
        <w:rPr>
          <w:rFonts w:ascii="Garamond" w:eastAsia="Times New Roman" w:hAnsi="Garamond" w:cs="Tahoma"/>
          <w:color w:val="000000"/>
          <w:sz w:val="20"/>
          <w:szCs w:val="20"/>
          <w:lang w:eastAsia="en-GB"/>
        </w:rPr>
        <w:t>From the Western Design to the wars in the Baltic, the foreign policy of Cromwell and the English Council of State ranged widely and made a profound impression on contemporaries at home and abroad. Taking their views into account as well as the views of modern historians, this talk will consider the basic aims of Cromwell’s policy while also trying to explain its contrasts. Towards the Dutch and Scandinavian states the Protector acted with caution and restraint, whereas in dealing with France and Spain he was more ambitious and aggressive.</w:t>
      </w:r>
    </w:p>
    <w:p w:rsidR="00204E02" w:rsidRDefault="00204E02" w:rsidP="00204E02">
      <w:pPr>
        <w:spacing w:before="100" w:beforeAutospacing="1" w:after="100" w:afterAutospacing="1" w:line="240" w:lineRule="auto"/>
        <w:rPr>
          <w:rFonts w:ascii="Garamond" w:eastAsia="Times New Roman" w:hAnsi="Garamond" w:cs="Times New Roman"/>
          <w:color w:val="000000"/>
          <w:sz w:val="20"/>
          <w:szCs w:val="20"/>
          <w:lang w:eastAsia="en-GB"/>
        </w:rPr>
      </w:pPr>
      <w:r w:rsidRPr="00204E02">
        <w:rPr>
          <w:rFonts w:ascii="Garamond" w:eastAsia="Times New Roman" w:hAnsi="Garamond" w:cs="Tahoma"/>
          <w:b/>
          <w:color w:val="000000"/>
          <w:sz w:val="20"/>
          <w:szCs w:val="20"/>
          <w:lang w:eastAsia="en-GB"/>
        </w:rPr>
        <w:t xml:space="preserve">Hugh </w:t>
      </w:r>
      <w:proofErr w:type="spellStart"/>
      <w:r w:rsidRPr="00204E02">
        <w:rPr>
          <w:rFonts w:ascii="Garamond" w:eastAsia="Times New Roman" w:hAnsi="Garamond" w:cs="Tahoma"/>
          <w:b/>
          <w:color w:val="000000"/>
          <w:sz w:val="20"/>
          <w:szCs w:val="20"/>
          <w:lang w:eastAsia="en-GB"/>
        </w:rPr>
        <w:t>Dunthorne</w:t>
      </w:r>
      <w:proofErr w:type="spellEnd"/>
      <w:r w:rsidRPr="00204E02">
        <w:rPr>
          <w:rFonts w:ascii="Garamond" w:eastAsia="Times New Roman" w:hAnsi="Garamond" w:cs="Tahoma"/>
          <w:color w:val="000000"/>
          <w:sz w:val="20"/>
          <w:szCs w:val="20"/>
          <w:lang w:eastAsia="en-GB"/>
        </w:rPr>
        <w:t xml:space="preserve"> taught in the History Department at Swansea University</w:t>
      </w:r>
      <w:r w:rsidR="00B87387" w:rsidRPr="00B87387">
        <w:rPr>
          <w:rFonts w:ascii="Garamond" w:eastAsia="Times New Roman" w:hAnsi="Garamond" w:cs="Tahoma"/>
          <w:color w:val="000000"/>
          <w:sz w:val="20"/>
          <w:szCs w:val="20"/>
          <w:lang w:eastAsia="en-GB"/>
        </w:rPr>
        <w:t xml:space="preserve"> </w:t>
      </w:r>
      <w:r w:rsidR="00B87387">
        <w:rPr>
          <w:rFonts w:ascii="Garamond" w:eastAsia="Times New Roman" w:hAnsi="Garamond" w:cs="Tahoma"/>
          <w:color w:val="000000"/>
          <w:sz w:val="20"/>
          <w:szCs w:val="20"/>
          <w:lang w:eastAsia="en-GB"/>
        </w:rPr>
        <w:t>u</w:t>
      </w:r>
      <w:r w:rsidR="00B87387" w:rsidRPr="00204E02">
        <w:rPr>
          <w:rFonts w:ascii="Garamond" w:eastAsia="Times New Roman" w:hAnsi="Garamond" w:cs="Tahoma"/>
          <w:color w:val="000000"/>
          <w:sz w:val="20"/>
          <w:szCs w:val="20"/>
          <w:lang w:eastAsia="en-GB"/>
        </w:rPr>
        <w:t>ntil his retirement in 2009</w:t>
      </w:r>
      <w:r w:rsidRPr="00204E02">
        <w:rPr>
          <w:rFonts w:ascii="Garamond" w:eastAsia="Times New Roman" w:hAnsi="Garamond" w:cs="Tahoma"/>
          <w:color w:val="000000"/>
          <w:sz w:val="20"/>
          <w:szCs w:val="20"/>
          <w:lang w:eastAsia="en-GB"/>
        </w:rPr>
        <w:t xml:space="preserve">.  His most recent book is </w:t>
      </w:r>
      <w:r w:rsidRPr="00204E02">
        <w:rPr>
          <w:rFonts w:ascii="Garamond" w:eastAsia="Times New Roman" w:hAnsi="Garamond" w:cs="Tahoma"/>
          <w:i/>
          <w:iCs/>
          <w:color w:val="000000"/>
          <w:sz w:val="20"/>
          <w:szCs w:val="20"/>
          <w:lang w:eastAsia="en-GB"/>
        </w:rPr>
        <w:t>Britain and the Dutch Revolt 1560-1700</w:t>
      </w:r>
      <w:r w:rsidRPr="00204E02">
        <w:rPr>
          <w:rFonts w:ascii="Garamond" w:eastAsia="Times New Roman" w:hAnsi="Garamond" w:cs="Tahoma"/>
          <w:color w:val="000000"/>
          <w:sz w:val="20"/>
          <w:szCs w:val="20"/>
          <w:lang w:eastAsia="en-GB"/>
        </w:rPr>
        <w:t xml:space="preserve"> (2013) and he has also edited, with Michael </w:t>
      </w:r>
      <w:proofErr w:type="spellStart"/>
      <w:r w:rsidRPr="00204E02">
        <w:rPr>
          <w:rFonts w:ascii="Garamond" w:eastAsia="Times New Roman" w:hAnsi="Garamond" w:cs="Tahoma"/>
          <w:color w:val="000000"/>
          <w:sz w:val="20"/>
          <w:szCs w:val="20"/>
          <w:lang w:eastAsia="en-GB"/>
        </w:rPr>
        <w:t>Wintle</w:t>
      </w:r>
      <w:proofErr w:type="spellEnd"/>
      <w:r w:rsidRPr="00204E02">
        <w:rPr>
          <w:rFonts w:ascii="Garamond" w:eastAsia="Times New Roman" w:hAnsi="Garamond" w:cs="Tahoma"/>
          <w:color w:val="000000"/>
          <w:sz w:val="20"/>
          <w:szCs w:val="20"/>
          <w:lang w:eastAsia="en-GB"/>
        </w:rPr>
        <w:t xml:space="preserve">, </w:t>
      </w:r>
      <w:r w:rsidRPr="00204E02">
        <w:rPr>
          <w:rFonts w:ascii="Garamond" w:eastAsia="Times New Roman" w:hAnsi="Garamond" w:cs="Tahoma"/>
          <w:i/>
          <w:iCs/>
          <w:color w:val="000000"/>
          <w:sz w:val="20"/>
          <w:szCs w:val="20"/>
          <w:lang w:eastAsia="en-GB"/>
        </w:rPr>
        <w:t>The Historical Imagination in nineteenth-century Britain and the Netherlands</w:t>
      </w:r>
      <w:r w:rsidRPr="00204E02">
        <w:rPr>
          <w:rFonts w:ascii="Garamond" w:eastAsia="Times New Roman" w:hAnsi="Garamond" w:cs="Tahoma"/>
          <w:color w:val="000000"/>
          <w:sz w:val="20"/>
          <w:szCs w:val="20"/>
          <w:lang w:eastAsia="en-GB"/>
        </w:rPr>
        <w:t xml:space="preserve"> (2013).  He is now working on a study of war artists from the sixteenth century to the twentieth.</w:t>
      </w:r>
      <w:r w:rsidRPr="00204E02">
        <w:rPr>
          <w:rFonts w:ascii="Garamond" w:eastAsia="Times New Roman" w:hAnsi="Garamond" w:cs="Times New Roman"/>
          <w:color w:val="000000"/>
          <w:sz w:val="20"/>
          <w:szCs w:val="20"/>
          <w:lang w:eastAsia="en-GB"/>
        </w:rPr>
        <w:t xml:space="preserve">  </w:t>
      </w:r>
    </w:p>
    <w:p w:rsidR="00204E02" w:rsidRPr="00B87387" w:rsidRDefault="00B87387" w:rsidP="00937FB2">
      <w:pPr>
        <w:spacing w:before="100" w:beforeAutospacing="1" w:after="100" w:afterAutospacing="1" w:line="256" w:lineRule="auto"/>
        <w:rPr>
          <w:rFonts w:ascii="Garamond" w:eastAsia="Times New Roman" w:hAnsi="Garamond" w:cs="Tahoma"/>
          <w:b/>
          <w:color w:val="000000"/>
          <w:sz w:val="20"/>
          <w:szCs w:val="20"/>
          <w:lang w:eastAsia="en-GB"/>
        </w:rPr>
      </w:pPr>
      <w:r>
        <w:rPr>
          <w:rFonts w:ascii="Garamond" w:eastAsia="Times New Roman" w:hAnsi="Garamond" w:cs="Tahoma"/>
          <w:b/>
          <w:color w:val="000000"/>
          <w:sz w:val="20"/>
          <w:szCs w:val="20"/>
          <w:lang w:eastAsia="en-GB"/>
        </w:rPr>
        <w:t>Lunch</w:t>
      </w:r>
    </w:p>
    <w:p w:rsidR="00937FB2" w:rsidRPr="00B87387" w:rsidRDefault="00E47F80" w:rsidP="00DE5123">
      <w:pPr>
        <w:spacing w:after="160" w:line="256" w:lineRule="auto"/>
        <w:rPr>
          <w:rFonts w:ascii="Garamond" w:hAnsi="Garamond"/>
          <w:b/>
          <w:sz w:val="20"/>
          <w:szCs w:val="20"/>
        </w:rPr>
      </w:pPr>
      <w:r w:rsidRPr="00B87387">
        <w:rPr>
          <w:rFonts w:ascii="Garamond" w:hAnsi="Garamond"/>
          <w:b/>
          <w:sz w:val="20"/>
          <w:szCs w:val="20"/>
        </w:rPr>
        <w:t xml:space="preserve">13.35 </w:t>
      </w:r>
      <w:r w:rsidRPr="00B87387">
        <w:rPr>
          <w:rFonts w:ascii="Garamond" w:hAnsi="Garamond"/>
          <w:b/>
          <w:sz w:val="20"/>
          <w:szCs w:val="20"/>
        </w:rPr>
        <w:tab/>
      </w:r>
      <w:r w:rsidR="00937FB2" w:rsidRPr="00B87387">
        <w:rPr>
          <w:rFonts w:ascii="Garamond" w:hAnsi="Garamond"/>
          <w:b/>
          <w:sz w:val="20"/>
          <w:szCs w:val="20"/>
        </w:rPr>
        <w:t xml:space="preserve">Cromwell’s intervention in 1655 to halt the </w:t>
      </w:r>
      <w:r w:rsidR="00937FB2" w:rsidRPr="00B87387">
        <w:rPr>
          <w:rFonts w:ascii="Garamond" w:hAnsi="Garamond"/>
          <w:b/>
          <w:i/>
          <w:sz w:val="20"/>
          <w:szCs w:val="20"/>
        </w:rPr>
        <w:t xml:space="preserve">Confessional Cleansing </w:t>
      </w:r>
      <w:r w:rsidR="00937FB2" w:rsidRPr="00B87387">
        <w:rPr>
          <w:rFonts w:ascii="Garamond" w:hAnsi="Garamond"/>
          <w:b/>
          <w:sz w:val="20"/>
          <w:szCs w:val="20"/>
        </w:rPr>
        <w:t xml:space="preserve">of Milton’s </w:t>
      </w:r>
      <w:r w:rsidR="00937FB2" w:rsidRPr="00B87387">
        <w:rPr>
          <w:rFonts w:ascii="Garamond" w:hAnsi="Garamond"/>
          <w:b/>
          <w:i/>
          <w:sz w:val="20"/>
          <w:szCs w:val="20"/>
        </w:rPr>
        <w:t xml:space="preserve">“Slaughtered Saints; </w:t>
      </w:r>
      <w:r w:rsidR="00937FB2" w:rsidRPr="00B87387">
        <w:rPr>
          <w:rFonts w:ascii="Garamond" w:hAnsi="Garamond"/>
          <w:b/>
          <w:sz w:val="20"/>
          <w:szCs w:val="20"/>
        </w:rPr>
        <w:t xml:space="preserve">in Piedmont. </w:t>
      </w:r>
    </w:p>
    <w:p w:rsidR="00204E02" w:rsidRPr="00B87387" w:rsidRDefault="00204E02" w:rsidP="00DE5123">
      <w:pPr>
        <w:spacing w:after="160" w:line="256" w:lineRule="auto"/>
        <w:rPr>
          <w:rFonts w:ascii="Garamond" w:hAnsi="Garamond"/>
          <w:b/>
          <w:sz w:val="20"/>
          <w:szCs w:val="20"/>
        </w:rPr>
      </w:pPr>
    </w:p>
    <w:p w:rsidR="00204E02" w:rsidRPr="00B87387" w:rsidRDefault="00204E02" w:rsidP="00DE5123">
      <w:pPr>
        <w:spacing w:after="160" w:line="256" w:lineRule="auto"/>
        <w:rPr>
          <w:rFonts w:ascii="Garamond" w:hAnsi="Garamond"/>
          <w:b/>
          <w:sz w:val="20"/>
          <w:szCs w:val="20"/>
        </w:rPr>
      </w:pPr>
      <w:r w:rsidRPr="00B87387">
        <w:rPr>
          <w:rFonts w:ascii="Garamond" w:hAnsi="Garamond"/>
          <w:b/>
          <w:noProof/>
          <w:sz w:val="20"/>
          <w:szCs w:val="20"/>
          <w:lang w:eastAsia="en-GB"/>
        </w:rPr>
        <w:drawing>
          <wp:inline distT="0" distB="0" distL="0" distR="0" wp14:anchorId="5D5F0157" wp14:editId="20C356C6">
            <wp:extent cx="1384814" cy="1385581"/>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6000" cy="1386768"/>
                    </a:xfrm>
                    <a:prstGeom prst="rect">
                      <a:avLst/>
                    </a:prstGeom>
                  </pic:spPr>
                </pic:pic>
              </a:graphicData>
            </a:graphic>
          </wp:inline>
        </w:drawing>
      </w:r>
    </w:p>
    <w:p w:rsidR="00937FB2" w:rsidRPr="00B87387" w:rsidRDefault="00937FB2" w:rsidP="00937FB2">
      <w:pPr>
        <w:spacing w:after="160" w:line="256" w:lineRule="auto"/>
        <w:rPr>
          <w:rFonts w:ascii="Garamond" w:hAnsi="Garamond"/>
          <w:sz w:val="20"/>
          <w:szCs w:val="20"/>
        </w:rPr>
      </w:pPr>
      <w:r w:rsidRPr="00D44D86">
        <w:rPr>
          <w:rFonts w:ascii="Garamond" w:hAnsi="Garamond"/>
          <w:b/>
          <w:sz w:val="20"/>
          <w:szCs w:val="20"/>
        </w:rPr>
        <w:t>Richard Newbury,</w:t>
      </w:r>
      <w:r w:rsidRPr="00B87387">
        <w:rPr>
          <w:rFonts w:ascii="Garamond" w:hAnsi="Garamond"/>
          <w:sz w:val="20"/>
          <w:szCs w:val="20"/>
        </w:rPr>
        <w:t xml:space="preserve"> journalist and member of the Waldensian Church</w:t>
      </w:r>
    </w:p>
    <w:p w:rsidR="000D50FF" w:rsidRDefault="00204E02" w:rsidP="000D50FF">
      <w:pPr>
        <w:spacing w:line="240" w:lineRule="auto"/>
        <w:jc w:val="both"/>
        <w:rPr>
          <w:rFonts w:ascii="Garamond" w:hAnsi="Garamond"/>
          <w:i/>
          <w:sz w:val="16"/>
          <w:szCs w:val="16"/>
        </w:rPr>
      </w:pPr>
      <w:r w:rsidRPr="000D50FF">
        <w:rPr>
          <w:rFonts w:ascii="Garamond" w:hAnsi="Garamond"/>
          <w:i/>
          <w:sz w:val="16"/>
          <w:szCs w:val="16"/>
        </w:rPr>
        <w:t>Avenge, O Lord, thy slaughtered saints, whose bones</w:t>
      </w:r>
    </w:p>
    <w:p w:rsidR="00204E02" w:rsidRPr="000D50FF" w:rsidRDefault="00204E02" w:rsidP="000D50FF">
      <w:pPr>
        <w:spacing w:line="240" w:lineRule="auto"/>
        <w:jc w:val="both"/>
        <w:rPr>
          <w:rFonts w:ascii="Garamond" w:hAnsi="Garamond"/>
          <w:i/>
          <w:sz w:val="16"/>
          <w:szCs w:val="16"/>
        </w:rPr>
      </w:pPr>
      <w:r w:rsidRPr="000D50FF">
        <w:rPr>
          <w:rFonts w:ascii="Garamond" w:hAnsi="Garamond"/>
          <w:i/>
          <w:sz w:val="16"/>
          <w:szCs w:val="16"/>
        </w:rPr>
        <w:t>Lie scattered on the Alpine mountains cold;</w:t>
      </w:r>
    </w:p>
    <w:p w:rsidR="00204E02" w:rsidRPr="000D50FF" w:rsidRDefault="00204E02" w:rsidP="000D50FF">
      <w:pPr>
        <w:spacing w:line="240" w:lineRule="auto"/>
        <w:jc w:val="both"/>
        <w:rPr>
          <w:rFonts w:ascii="Garamond" w:hAnsi="Garamond"/>
          <w:i/>
          <w:sz w:val="16"/>
          <w:szCs w:val="16"/>
        </w:rPr>
      </w:pPr>
      <w:proofErr w:type="spellStart"/>
      <w:r w:rsidRPr="000D50FF">
        <w:rPr>
          <w:rFonts w:ascii="Garamond" w:hAnsi="Garamond"/>
          <w:i/>
          <w:sz w:val="16"/>
          <w:szCs w:val="16"/>
        </w:rPr>
        <w:t>E’en</w:t>
      </w:r>
      <w:proofErr w:type="spellEnd"/>
      <w:r w:rsidRPr="000D50FF">
        <w:rPr>
          <w:rFonts w:ascii="Garamond" w:hAnsi="Garamond"/>
          <w:i/>
          <w:sz w:val="16"/>
          <w:szCs w:val="16"/>
        </w:rPr>
        <w:t xml:space="preserve"> them, who kept thy faith so pure of old,</w:t>
      </w:r>
    </w:p>
    <w:p w:rsidR="00204E02" w:rsidRPr="000D50FF" w:rsidRDefault="00204E02" w:rsidP="000D50FF">
      <w:pPr>
        <w:spacing w:line="240" w:lineRule="auto"/>
        <w:jc w:val="both"/>
        <w:rPr>
          <w:rFonts w:ascii="Garamond" w:hAnsi="Garamond"/>
          <w:i/>
          <w:sz w:val="16"/>
          <w:szCs w:val="16"/>
        </w:rPr>
      </w:pPr>
      <w:r w:rsidRPr="000D50FF">
        <w:rPr>
          <w:rFonts w:ascii="Garamond" w:hAnsi="Garamond"/>
          <w:i/>
          <w:sz w:val="16"/>
          <w:szCs w:val="16"/>
        </w:rPr>
        <w:t xml:space="preserve">When all our Fathers </w:t>
      </w:r>
      <w:proofErr w:type="spellStart"/>
      <w:r w:rsidRPr="000D50FF">
        <w:rPr>
          <w:rFonts w:ascii="Garamond" w:hAnsi="Garamond"/>
          <w:i/>
          <w:sz w:val="16"/>
          <w:szCs w:val="16"/>
        </w:rPr>
        <w:t>worship’d</w:t>
      </w:r>
      <w:proofErr w:type="spellEnd"/>
      <w:r w:rsidRPr="000D50FF">
        <w:rPr>
          <w:rFonts w:ascii="Garamond" w:hAnsi="Garamond"/>
          <w:i/>
          <w:sz w:val="16"/>
          <w:szCs w:val="16"/>
        </w:rPr>
        <w:t xml:space="preserve"> Stocks and Stones,</w:t>
      </w:r>
    </w:p>
    <w:p w:rsidR="00204E02" w:rsidRPr="000D50FF" w:rsidRDefault="00204E02" w:rsidP="000D50FF">
      <w:pPr>
        <w:spacing w:line="240" w:lineRule="auto"/>
        <w:jc w:val="both"/>
        <w:rPr>
          <w:rFonts w:ascii="Garamond" w:hAnsi="Garamond"/>
          <w:i/>
          <w:sz w:val="16"/>
          <w:szCs w:val="16"/>
        </w:rPr>
      </w:pPr>
      <w:r w:rsidRPr="000D50FF">
        <w:rPr>
          <w:rFonts w:ascii="Garamond" w:hAnsi="Garamond"/>
          <w:i/>
          <w:sz w:val="16"/>
          <w:szCs w:val="16"/>
        </w:rPr>
        <w:t xml:space="preserve">Forget not: in thy book record their groans, </w:t>
      </w:r>
    </w:p>
    <w:p w:rsidR="00204E02" w:rsidRPr="000D50FF" w:rsidRDefault="00204E02" w:rsidP="000D50FF">
      <w:pPr>
        <w:spacing w:line="240" w:lineRule="auto"/>
        <w:jc w:val="both"/>
        <w:rPr>
          <w:rFonts w:ascii="Garamond" w:hAnsi="Garamond"/>
          <w:i/>
          <w:sz w:val="16"/>
          <w:szCs w:val="16"/>
        </w:rPr>
      </w:pPr>
      <w:r w:rsidRPr="000D50FF">
        <w:rPr>
          <w:rFonts w:ascii="Garamond" w:hAnsi="Garamond"/>
          <w:i/>
          <w:sz w:val="16"/>
          <w:szCs w:val="16"/>
        </w:rPr>
        <w:t xml:space="preserve">Who are thy Sheep, and in their ancient </w:t>
      </w:r>
      <w:proofErr w:type="gramStart"/>
      <w:r w:rsidRPr="000D50FF">
        <w:rPr>
          <w:rFonts w:ascii="Garamond" w:hAnsi="Garamond"/>
          <w:i/>
          <w:sz w:val="16"/>
          <w:szCs w:val="16"/>
        </w:rPr>
        <w:t>Fold</w:t>
      </w:r>
      <w:proofErr w:type="gramEnd"/>
    </w:p>
    <w:p w:rsidR="00204E02" w:rsidRPr="000D50FF" w:rsidRDefault="00204E02" w:rsidP="000D50FF">
      <w:pPr>
        <w:spacing w:line="240" w:lineRule="auto"/>
        <w:jc w:val="both"/>
        <w:rPr>
          <w:rFonts w:ascii="Garamond" w:hAnsi="Garamond"/>
          <w:i/>
          <w:sz w:val="16"/>
          <w:szCs w:val="16"/>
        </w:rPr>
      </w:pPr>
      <w:r w:rsidRPr="000D50FF">
        <w:rPr>
          <w:rFonts w:ascii="Garamond" w:hAnsi="Garamond"/>
          <w:i/>
          <w:sz w:val="16"/>
          <w:szCs w:val="16"/>
        </w:rPr>
        <w:t xml:space="preserve">Slain by the bloody </w:t>
      </w:r>
      <w:proofErr w:type="spellStart"/>
      <w:r w:rsidRPr="000D50FF">
        <w:rPr>
          <w:rFonts w:ascii="Garamond" w:hAnsi="Garamond"/>
          <w:i/>
          <w:sz w:val="16"/>
          <w:szCs w:val="16"/>
        </w:rPr>
        <w:t>Piedmontese</w:t>
      </w:r>
      <w:proofErr w:type="spellEnd"/>
      <w:r w:rsidRPr="000D50FF">
        <w:rPr>
          <w:rFonts w:ascii="Garamond" w:hAnsi="Garamond"/>
          <w:i/>
          <w:sz w:val="16"/>
          <w:szCs w:val="16"/>
        </w:rPr>
        <w:t xml:space="preserve">, that </w:t>
      </w:r>
      <w:proofErr w:type="spellStart"/>
      <w:r w:rsidRPr="000D50FF">
        <w:rPr>
          <w:rFonts w:ascii="Garamond" w:hAnsi="Garamond"/>
          <w:i/>
          <w:sz w:val="16"/>
          <w:szCs w:val="16"/>
        </w:rPr>
        <w:t>roll’d</w:t>
      </w:r>
      <w:proofErr w:type="spellEnd"/>
    </w:p>
    <w:p w:rsidR="00204E02" w:rsidRPr="000D50FF" w:rsidRDefault="00204E02" w:rsidP="000D50FF">
      <w:pPr>
        <w:spacing w:line="240" w:lineRule="auto"/>
        <w:rPr>
          <w:rFonts w:ascii="Garamond" w:hAnsi="Garamond"/>
          <w:i/>
          <w:sz w:val="16"/>
          <w:szCs w:val="16"/>
        </w:rPr>
      </w:pPr>
      <w:r w:rsidRPr="000D50FF">
        <w:rPr>
          <w:rFonts w:ascii="Garamond" w:hAnsi="Garamond"/>
          <w:i/>
          <w:sz w:val="16"/>
          <w:szCs w:val="16"/>
        </w:rPr>
        <w:t>Mother and Infant down the rocks.</w:t>
      </w:r>
    </w:p>
    <w:p w:rsidR="00937FB2" w:rsidRDefault="00937FB2" w:rsidP="00204E02">
      <w:pPr>
        <w:rPr>
          <w:rFonts w:ascii="Garamond" w:eastAsia="Times New Roman" w:hAnsi="Garamond" w:cs="Times New Roman"/>
          <w:sz w:val="20"/>
          <w:szCs w:val="20"/>
        </w:rPr>
      </w:pPr>
      <w:r w:rsidRPr="00B87387">
        <w:rPr>
          <w:rFonts w:ascii="Garamond" w:eastAsia="Times New Roman" w:hAnsi="Garamond" w:cs="Times New Roman"/>
          <w:sz w:val="20"/>
          <w:szCs w:val="20"/>
        </w:rPr>
        <w:t>How and why did Cromwell intervene to support the Protestant sect mostly remembered now by Milton’s lines?</w:t>
      </w:r>
    </w:p>
    <w:p w:rsidR="00B87387" w:rsidRPr="00B87387" w:rsidRDefault="00B87387" w:rsidP="00B87387">
      <w:pPr>
        <w:spacing w:after="100" w:line="240" w:lineRule="auto"/>
        <w:rPr>
          <w:rFonts w:ascii="Garamond" w:eastAsia="Times New Roman" w:hAnsi="Garamond" w:cs="Times New Roman"/>
          <w:color w:val="000000"/>
          <w:sz w:val="20"/>
          <w:szCs w:val="20"/>
          <w:lang w:eastAsia="en-GB"/>
        </w:rPr>
      </w:pPr>
      <w:r w:rsidRPr="00B87387">
        <w:rPr>
          <w:rFonts w:ascii="Garamond" w:eastAsia="Times New Roman" w:hAnsi="Garamond" w:cs="Times New Roman"/>
          <w:b/>
          <w:color w:val="000000"/>
          <w:sz w:val="20"/>
          <w:szCs w:val="20"/>
          <w:lang w:eastAsia="en-GB"/>
        </w:rPr>
        <w:lastRenderedPageBreak/>
        <w:t>Richard Newbury</w:t>
      </w:r>
      <w:r w:rsidRPr="00B87387">
        <w:rPr>
          <w:rFonts w:ascii="Garamond" w:eastAsia="Times New Roman" w:hAnsi="Garamond" w:cs="Times New Roman"/>
          <w:color w:val="000000"/>
          <w:sz w:val="20"/>
          <w:szCs w:val="20"/>
          <w:lang w:eastAsia="en-GB"/>
        </w:rPr>
        <w:t xml:space="preserve"> MA </w:t>
      </w:r>
      <w:proofErr w:type="spellStart"/>
      <w:r w:rsidRPr="00B87387">
        <w:rPr>
          <w:rFonts w:ascii="Garamond" w:eastAsia="Times New Roman" w:hAnsi="Garamond" w:cs="Times New Roman"/>
          <w:color w:val="000000"/>
          <w:sz w:val="20"/>
          <w:szCs w:val="20"/>
          <w:lang w:eastAsia="en-GB"/>
        </w:rPr>
        <w:t>Cantab</w:t>
      </w:r>
      <w:proofErr w:type="spellEnd"/>
      <w:r w:rsidRPr="00B87387">
        <w:rPr>
          <w:rFonts w:ascii="Garamond" w:eastAsia="Times New Roman" w:hAnsi="Garamond" w:cs="Times New Roman"/>
          <w:color w:val="000000"/>
          <w:sz w:val="20"/>
          <w:szCs w:val="20"/>
          <w:lang w:eastAsia="en-GB"/>
        </w:rPr>
        <w:t xml:space="preserve"> is  a commentator and feature writer for  the Italian press [Il </w:t>
      </w:r>
      <w:proofErr w:type="spellStart"/>
      <w:r w:rsidRPr="00B87387">
        <w:rPr>
          <w:rFonts w:ascii="Garamond" w:eastAsia="Times New Roman" w:hAnsi="Garamond" w:cs="Times New Roman"/>
          <w:color w:val="000000"/>
          <w:sz w:val="20"/>
          <w:szCs w:val="20"/>
          <w:lang w:eastAsia="en-GB"/>
        </w:rPr>
        <w:t>Foglio</w:t>
      </w:r>
      <w:proofErr w:type="spellEnd"/>
      <w:r w:rsidRPr="00B87387">
        <w:rPr>
          <w:rFonts w:ascii="Garamond" w:eastAsia="Times New Roman" w:hAnsi="Garamond" w:cs="Times New Roman"/>
          <w:color w:val="000000"/>
          <w:sz w:val="20"/>
          <w:szCs w:val="20"/>
          <w:lang w:eastAsia="en-GB"/>
        </w:rPr>
        <w:t xml:space="preserve">, Il </w:t>
      </w:r>
      <w:proofErr w:type="spellStart"/>
      <w:r w:rsidRPr="00B87387">
        <w:rPr>
          <w:rFonts w:ascii="Garamond" w:eastAsia="Times New Roman" w:hAnsi="Garamond" w:cs="Times New Roman"/>
          <w:color w:val="000000"/>
          <w:sz w:val="20"/>
          <w:szCs w:val="20"/>
          <w:lang w:eastAsia="en-GB"/>
        </w:rPr>
        <w:t>Corriere</w:t>
      </w:r>
      <w:proofErr w:type="spellEnd"/>
      <w:r w:rsidRPr="00B87387">
        <w:rPr>
          <w:rFonts w:ascii="Garamond" w:eastAsia="Times New Roman" w:hAnsi="Garamond" w:cs="Times New Roman"/>
          <w:color w:val="000000"/>
          <w:sz w:val="20"/>
          <w:szCs w:val="20"/>
          <w:lang w:eastAsia="en-GB"/>
        </w:rPr>
        <w:t xml:space="preserve"> </w:t>
      </w:r>
      <w:proofErr w:type="spellStart"/>
      <w:r w:rsidRPr="00B87387">
        <w:rPr>
          <w:rFonts w:ascii="Garamond" w:eastAsia="Times New Roman" w:hAnsi="Garamond" w:cs="Times New Roman"/>
          <w:color w:val="000000"/>
          <w:sz w:val="20"/>
          <w:szCs w:val="20"/>
          <w:lang w:eastAsia="en-GB"/>
        </w:rPr>
        <w:t>della</w:t>
      </w:r>
      <w:proofErr w:type="spellEnd"/>
      <w:r w:rsidRPr="00B87387">
        <w:rPr>
          <w:rFonts w:ascii="Garamond" w:eastAsia="Times New Roman" w:hAnsi="Garamond" w:cs="Times New Roman"/>
          <w:color w:val="000000"/>
          <w:sz w:val="20"/>
          <w:szCs w:val="20"/>
          <w:lang w:eastAsia="en-GB"/>
        </w:rPr>
        <w:t xml:space="preserve"> Sera and La Stampa] as </w:t>
      </w:r>
      <w:proofErr w:type="spellStart"/>
      <w:r w:rsidRPr="00B87387">
        <w:rPr>
          <w:rFonts w:ascii="Garamond" w:eastAsia="Times New Roman" w:hAnsi="Garamond" w:cs="Times New Roman"/>
          <w:color w:val="000000"/>
          <w:sz w:val="20"/>
          <w:szCs w:val="20"/>
          <w:lang w:eastAsia="en-GB"/>
        </w:rPr>
        <w:t>as</w:t>
      </w:r>
      <w:proofErr w:type="spellEnd"/>
      <w:r w:rsidRPr="00B87387">
        <w:rPr>
          <w:rFonts w:ascii="Garamond" w:eastAsia="Times New Roman" w:hAnsi="Garamond" w:cs="Times New Roman"/>
          <w:color w:val="000000"/>
          <w:sz w:val="20"/>
          <w:szCs w:val="20"/>
          <w:lang w:eastAsia="en-GB"/>
        </w:rPr>
        <w:t xml:space="preserve"> well as on national broadcasters [RAI, Sky, La 7 and Swiss TV]. He is the author in Italian of a dozen biographies of significant British figures the most recent of which is   </w:t>
      </w:r>
      <w:r w:rsidRPr="00B87387">
        <w:rPr>
          <w:rFonts w:ascii="Garamond" w:eastAsia="Times New Roman" w:hAnsi="Garamond" w:cs="Times New Roman"/>
          <w:i/>
          <w:iCs/>
          <w:color w:val="000000"/>
          <w:sz w:val="20"/>
          <w:szCs w:val="20"/>
          <w:lang w:eastAsia="en-GB"/>
        </w:rPr>
        <w:t>Oliver Cromwell.</w:t>
      </w:r>
      <w:r w:rsidRPr="00B87387">
        <w:rPr>
          <w:rFonts w:ascii="Garamond" w:eastAsia="Times New Roman" w:hAnsi="Garamond" w:cs="Times New Roman"/>
          <w:color w:val="000000"/>
          <w:sz w:val="20"/>
          <w:szCs w:val="20"/>
          <w:lang w:eastAsia="en-GB"/>
        </w:rPr>
        <w:t xml:space="preserve"> He is a Committee Member of the Waldensian Church Missions and divides his time between Cambridge and Torre </w:t>
      </w:r>
      <w:proofErr w:type="spellStart"/>
      <w:r w:rsidRPr="00B87387">
        <w:rPr>
          <w:rFonts w:ascii="Garamond" w:eastAsia="Times New Roman" w:hAnsi="Garamond" w:cs="Times New Roman"/>
          <w:color w:val="000000"/>
          <w:sz w:val="20"/>
          <w:szCs w:val="20"/>
          <w:lang w:eastAsia="en-GB"/>
        </w:rPr>
        <w:t>Pellice</w:t>
      </w:r>
      <w:proofErr w:type="spellEnd"/>
      <w:r w:rsidRPr="00B87387">
        <w:rPr>
          <w:rFonts w:ascii="Garamond" w:eastAsia="Times New Roman" w:hAnsi="Garamond" w:cs="Times New Roman"/>
          <w:color w:val="000000"/>
          <w:sz w:val="20"/>
          <w:szCs w:val="20"/>
          <w:lang w:eastAsia="en-GB"/>
        </w:rPr>
        <w:t xml:space="preserve"> in the Waldensian Valleys </w:t>
      </w:r>
    </w:p>
    <w:p w:rsidR="00B87387" w:rsidRDefault="00B87387" w:rsidP="00204E02">
      <w:pPr>
        <w:rPr>
          <w:rFonts w:ascii="Garamond" w:eastAsia="Times New Roman" w:hAnsi="Garamond" w:cs="Times New Roman"/>
          <w:sz w:val="20"/>
          <w:szCs w:val="20"/>
        </w:rPr>
      </w:pPr>
    </w:p>
    <w:p w:rsidR="00937FB2" w:rsidRPr="00B87387" w:rsidRDefault="00E47F80" w:rsidP="00937FB2">
      <w:pPr>
        <w:spacing w:after="160" w:line="256" w:lineRule="auto"/>
        <w:rPr>
          <w:rFonts w:ascii="Garamond" w:hAnsi="Garamond" w:cs="Times New Roman"/>
          <w:b/>
          <w:sz w:val="20"/>
          <w:szCs w:val="20"/>
        </w:rPr>
      </w:pPr>
      <w:r w:rsidRPr="00B87387">
        <w:rPr>
          <w:rFonts w:ascii="Garamond" w:hAnsi="Garamond" w:cs="Times New Roman"/>
          <w:b/>
          <w:sz w:val="20"/>
          <w:szCs w:val="20"/>
        </w:rPr>
        <w:t>14.15</w:t>
      </w:r>
      <w:r w:rsidRPr="00B87387">
        <w:rPr>
          <w:rFonts w:ascii="Garamond" w:hAnsi="Garamond" w:cs="Times New Roman"/>
          <w:b/>
          <w:sz w:val="20"/>
          <w:szCs w:val="20"/>
        </w:rPr>
        <w:tab/>
        <w:t xml:space="preserve"> </w:t>
      </w:r>
      <w:r w:rsidR="00937FB2" w:rsidRPr="00B87387">
        <w:rPr>
          <w:rFonts w:ascii="Garamond" w:hAnsi="Garamond" w:cs="Times New Roman"/>
          <w:b/>
          <w:sz w:val="20"/>
          <w:szCs w:val="20"/>
        </w:rPr>
        <w:t>Reform, Republicanism and Refuge: Anglo-Swiss relations in the mid-seventeenth century</w:t>
      </w:r>
    </w:p>
    <w:p w:rsidR="00204E02" w:rsidRPr="00B87387" w:rsidRDefault="00204E02" w:rsidP="00937FB2">
      <w:pPr>
        <w:spacing w:after="160" w:line="256" w:lineRule="auto"/>
        <w:rPr>
          <w:rFonts w:ascii="Garamond" w:hAnsi="Garamond" w:cs="Times New Roman"/>
          <w:sz w:val="20"/>
          <w:szCs w:val="20"/>
        </w:rPr>
      </w:pPr>
      <w:r w:rsidRPr="00B87387">
        <w:rPr>
          <w:rFonts w:ascii="Garamond" w:hAnsi="Garamond" w:cs="Times New Roman"/>
          <w:noProof/>
          <w:sz w:val="20"/>
          <w:szCs w:val="20"/>
          <w:lang w:eastAsia="en-GB"/>
        </w:rPr>
        <w:drawing>
          <wp:inline distT="0" distB="0" distL="0" distR="0" wp14:anchorId="00E4C08D" wp14:editId="62BB93CC">
            <wp:extent cx="1670234" cy="193374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9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1793" cy="1935546"/>
                    </a:xfrm>
                    <a:prstGeom prst="rect">
                      <a:avLst/>
                    </a:prstGeom>
                  </pic:spPr>
                </pic:pic>
              </a:graphicData>
            </a:graphic>
          </wp:inline>
        </w:drawing>
      </w:r>
    </w:p>
    <w:p w:rsidR="00937FB2" w:rsidRPr="00B87387" w:rsidRDefault="00937FB2" w:rsidP="00937FB2">
      <w:pPr>
        <w:spacing w:after="160" w:line="256" w:lineRule="auto"/>
        <w:rPr>
          <w:rFonts w:ascii="Garamond" w:hAnsi="Garamond" w:cs="Times New Roman"/>
          <w:sz w:val="20"/>
          <w:szCs w:val="20"/>
        </w:rPr>
      </w:pPr>
      <w:r w:rsidRPr="00D44D86">
        <w:rPr>
          <w:rFonts w:ascii="Garamond" w:hAnsi="Garamond" w:cs="Times New Roman"/>
          <w:b/>
          <w:sz w:val="20"/>
          <w:szCs w:val="20"/>
        </w:rPr>
        <w:t xml:space="preserve">Vivienne </w:t>
      </w:r>
      <w:proofErr w:type="spellStart"/>
      <w:r w:rsidRPr="00D44D86">
        <w:rPr>
          <w:rFonts w:ascii="Garamond" w:hAnsi="Garamond" w:cs="Times New Roman"/>
          <w:b/>
          <w:sz w:val="20"/>
          <w:szCs w:val="20"/>
        </w:rPr>
        <w:t>Larminie</w:t>
      </w:r>
      <w:proofErr w:type="spellEnd"/>
      <w:r w:rsidRPr="00B87387">
        <w:rPr>
          <w:rFonts w:ascii="Garamond" w:hAnsi="Garamond" w:cs="Times New Roman"/>
          <w:sz w:val="20"/>
          <w:szCs w:val="20"/>
        </w:rPr>
        <w:t>, Senior Research Fellow, History of Parliament Trust</w:t>
      </w:r>
    </w:p>
    <w:p w:rsidR="00204E02" w:rsidRPr="00B87387" w:rsidRDefault="00204E02" w:rsidP="00204E02">
      <w:pPr>
        <w:rPr>
          <w:rFonts w:ascii="Garamond" w:hAnsi="Garamond" w:cs="Times New Roman"/>
          <w:sz w:val="20"/>
          <w:szCs w:val="20"/>
        </w:rPr>
      </w:pPr>
    </w:p>
    <w:p w:rsidR="00204E02" w:rsidRPr="00B87387" w:rsidRDefault="00204E02" w:rsidP="00204E02">
      <w:pPr>
        <w:rPr>
          <w:rFonts w:ascii="Garamond" w:hAnsi="Garamond" w:cs="Times New Roman"/>
          <w:sz w:val="20"/>
          <w:szCs w:val="20"/>
        </w:rPr>
      </w:pPr>
      <w:r w:rsidRPr="00B87387">
        <w:rPr>
          <w:rFonts w:ascii="Garamond" w:hAnsi="Garamond" w:cs="Times New Roman"/>
          <w:sz w:val="20"/>
          <w:szCs w:val="20"/>
        </w:rPr>
        <w:t xml:space="preserve">Links with the Swiss Confederation are a relatively neglected aspect of relations between the British Isles and other European powers in the seventeenth century.  The few moderately familiar examples of interaction in the 1650s – the ecumenical embassy of John </w:t>
      </w:r>
      <w:proofErr w:type="spellStart"/>
      <w:r w:rsidRPr="00B87387">
        <w:rPr>
          <w:rFonts w:ascii="Garamond" w:hAnsi="Garamond" w:cs="Times New Roman"/>
          <w:sz w:val="20"/>
          <w:szCs w:val="20"/>
        </w:rPr>
        <w:t>Durie</w:t>
      </w:r>
      <w:proofErr w:type="spellEnd"/>
      <w:r w:rsidRPr="00B87387">
        <w:rPr>
          <w:rFonts w:ascii="Garamond" w:hAnsi="Garamond" w:cs="Times New Roman"/>
          <w:sz w:val="20"/>
          <w:szCs w:val="20"/>
        </w:rPr>
        <w:t xml:space="preserve"> (not just to Switzerland); the Confederation’s efforts at mediation in the Anglo-Dutch war; fund-raising for the persecuted Waldensians (not strictly Swiss) – appear to come almost from nowhere.  But they did not.  Academic and religious interchange, </w:t>
      </w:r>
      <w:proofErr w:type="gramStart"/>
      <w:r w:rsidRPr="00B87387">
        <w:rPr>
          <w:rFonts w:ascii="Garamond" w:hAnsi="Garamond" w:cs="Times New Roman"/>
          <w:sz w:val="20"/>
          <w:szCs w:val="20"/>
        </w:rPr>
        <w:t>a traffic</w:t>
      </w:r>
      <w:proofErr w:type="gramEnd"/>
      <w:r w:rsidRPr="00B87387">
        <w:rPr>
          <w:rFonts w:ascii="Garamond" w:hAnsi="Garamond" w:cs="Times New Roman"/>
          <w:sz w:val="20"/>
          <w:szCs w:val="20"/>
        </w:rPr>
        <w:t xml:space="preserve"> in books, commercial links, travel and diplomacy were well-established.  English puritan writing influenced early Swiss pietism, while the oligarchic republics presented a model of Protestant states (economically ascendant within the federation) directing their own political affairs and dominating their churches, while co-existing with their Catholic neighbours.  The Restoration exile of the regicides rested on and revealed this prior engagement; the experience of refuge coloured Edmund </w:t>
      </w:r>
      <w:proofErr w:type="spellStart"/>
      <w:r w:rsidRPr="00B87387">
        <w:rPr>
          <w:rFonts w:ascii="Garamond" w:hAnsi="Garamond" w:cs="Times New Roman"/>
          <w:sz w:val="20"/>
          <w:szCs w:val="20"/>
        </w:rPr>
        <w:t>Ludlowe’s</w:t>
      </w:r>
      <w:proofErr w:type="spellEnd"/>
      <w:r w:rsidRPr="00B87387">
        <w:rPr>
          <w:rFonts w:ascii="Garamond" w:hAnsi="Garamond" w:cs="Times New Roman"/>
          <w:sz w:val="20"/>
          <w:szCs w:val="20"/>
        </w:rPr>
        <w:t xml:space="preserve"> memoirs of the commonwealth and protectorate.  </w:t>
      </w:r>
    </w:p>
    <w:p w:rsidR="00204E02" w:rsidRDefault="00D44D86" w:rsidP="00204E02">
      <w:pPr>
        <w:shd w:val="clear" w:color="auto" w:fill="FFFFFF"/>
        <w:spacing w:after="0" w:line="240" w:lineRule="auto"/>
        <w:jc w:val="both"/>
        <w:textAlignment w:val="baseline"/>
        <w:rPr>
          <w:rFonts w:ascii="Garamond" w:eastAsia="Times New Roman" w:hAnsi="Garamond" w:cs="Times New Roman"/>
          <w:color w:val="444444"/>
          <w:sz w:val="20"/>
          <w:szCs w:val="20"/>
          <w:lang w:eastAsia="en-GB"/>
        </w:rPr>
      </w:pPr>
      <w:r w:rsidRPr="00D44D86">
        <w:rPr>
          <w:rFonts w:ascii="Garamond" w:eastAsia="Times New Roman" w:hAnsi="Garamond" w:cs="Times New Roman"/>
          <w:b/>
          <w:color w:val="444444"/>
          <w:sz w:val="20"/>
          <w:szCs w:val="20"/>
          <w:lang w:eastAsia="en-GB"/>
        </w:rPr>
        <w:t xml:space="preserve">Vivienne </w:t>
      </w:r>
      <w:proofErr w:type="spellStart"/>
      <w:r w:rsidRPr="00D44D86">
        <w:rPr>
          <w:rFonts w:ascii="Garamond" w:eastAsia="Times New Roman" w:hAnsi="Garamond" w:cs="Times New Roman"/>
          <w:b/>
          <w:color w:val="444444"/>
          <w:sz w:val="20"/>
          <w:szCs w:val="20"/>
          <w:lang w:eastAsia="en-GB"/>
        </w:rPr>
        <w:t>Larminie</w:t>
      </w:r>
      <w:proofErr w:type="spellEnd"/>
      <w:r>
        <w:rPr>
          <w:rFonts w:ascii="Garamond" w:eastAsia="Times New Roman" w:hAnsi="Garamond" w:cs="Times New Roman"/>
          <w:color w:val="444444"/>
          <w:sz w:val="20"/>
          <w:szCs w:val="20"/>
          <w:lang w:eastAsia="en-GB"/>
        </w:rPr>
        <w:t xml:space="preserve"> joined the History of Parliament Trust</w:t>
      </w:r>
      <w:r w:rsidR="00204E02" w:rsidRPr="00204E02">
        <w:rPr>
          <w:rFonts w:ascii="Garamond" w:eastAsia="Times New Roman" w:hAnsi="Garamond" w:cs="Times New Roman"/>
          <w:color w:val="444444"/>
          <w:sz w:val="20"/>
          <w:szCs w:val="20"/>
          <w:lang w:eastAsia="en-GB"/>
        </w:rPr>
        <w:t xml:space="preserve"> from the</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i/>
          <w:iCs/>
          <w:color w:val="444444"/>
          <w:sz w:val="20"/>
          <w:szCs w:val="20"/>
          <w:bdr w:val="none" w:sz="0" w:space="0" w:color="auto" w:frame="1"/>
          <w:lang w:eastAsia="en-GB"/>
        </w:rPr>
        <w:t>Oxford Dictionary of National Biography</w:t>
      </w:r>
      <w:r w:rsidR="00204E02" w:rsidRPr="00204E02">
        <w:rPr>
          <w:rFonts w:ascii="Garamond" w:eastAsia="Times New Roman" w:hAnsi="Garamond" w:cs="Times New Roman"/>
          <w:color w:val="444444"/>
          <w:sz w:val="20"/>
          <w:szCs w:val="20"/>
          <w:lang w:eastAsia="en-GB"/>
        </w:rPr>
        <w:t xml:space="preserve">, where </w:t>
      </w:r>
      <w:r>
        <w:rPr>
          <w:rFonts w:ascii="Garamond" w:eastAsia="Times New Roman" w:hAnsi="Garamond" w:cs="Times New Roman"/>
          <w:color w:val="444444"/>
          <w:sz w:val="20"/>
          <w:szCs w:val="20"/>
          <w:lang w:eastAsia="en-GB"/>
        </w:rPr>
        <w:t xml:space="preserve">she </w:t>
      </w:r>
      <w:r w:rsidR="00204E02" w:rsidRPr="00204E02">
        <w:rPr>
          <w:rFonts w:ascii="Garamond" w:eastAsia="Times New Roman" w:hAnsi="Garamond" w:cs="Times New Roman"/>
          <w:color w:val="444444"/>
          <w:sz w:val="20"/>
          <w:szCs w:val="20"/>
          <w:lang w:eastAsia="en-GB"/>
        </w:rPr>
        <w:t xml:space="preserve">was a research editor for the 17th century, </w:t>
      </w:r>
      <w:r>
        <w:rPr>
          <w:rFonts w:ascii="Garamond" w:eastAsia="Times New Roman" w:hAnsi="Garamond" w:cs="Times New Roman"/>
          <w:color w:val="444444"/>
          <w:sz w:val="20"/>
          <w:szCs w:val="20"/>
          <w:lang w:eastAsia="en-GB"/>
        </w:rPr>
        <w:t>and wrote over 100 articles</w:t>
      </w:r>
      <w:r w:rsidR="00204E02" w:rsidRPr="00204E02">
        <w:rPr>
          <w:rFonts w:ascii="Garamond" w:eastAsia="Times New Roman" w:hAnsi="Garamond" w:cs="Times New Roman"/>
          <w:color w:val="444444"/>
          <w:sz w:val="20"/>
          <w:szCs w:val="20"/>
          <w:lang w:eastAsia="en-GB"/>
        </w:rPr>
        <w:t xml:space="preserve">.  </w:t>
      </w:r>
      <w:r>
        <w:rPr>
          <w:rFonts w:ascii="Garamond" w:eastAsia="Times New Roman" w:hAnsi="Garamond" w:cs="Times New Roman"/>
          <w:color w:val="444444"/>
          <w:sz w:val="20"/>
          <w:szCs w:val="20"/>
          <w:lang w:eastAsia="en-GB"/>
        </w:rPr>
        <w:t xml:space="preserve">She has researched Wiltshire and Oxfordshire MPs for the </w:t>
      </w:r>
      <w:proofErr w:type="spellStart"/>
      <w:r>
        <w:rPr>
          <w:rFonts w:ascii="Garamond" w:eastAsia="Times New Roman" w:hAnsi="Garamond" w:cs="Times New Roman"/>
          <w:color w:val="444444"/>
          <w:sz w:val="20"/>
          <w:szCs w:val="20"/>
          <w:lang w:eastAsia="en-GB"/>
        </w:rPr>
        <w:t>HoP</w:t>
      </w:r>
      <w:proofErr w:type="spellEnd"/>
      <w:r>
        <w:rPr>
          <w:rFonts w:ascii="Garamond" w:eastAsia="Times New Roman" w:hAnsi="Garamond" w:cs="Times New Roman"/>
          <w:color w:val="444444"/>
          <w:sz w:val="20"/>
          <w:szCs w:val="20"/>
          <w:lang w:eastAsia="en-GB"/>
        </w:rPr>
        <w:t xml:space="preserve"> and c</w:t>
      </w:r>
      <w:r w:rsidR="00204E02" w:rsidRPr="00204E02">
        <w:rPr>
          <w:rFonts w:ascii="Garamond" w:eastAsia="Times New Roman" w:hAnsi="Garamond" w:cs="Times New Roman"/>
          <w:color w:val="444444"/>
          <w:sz w:val="20"/>
          <w:szCs w:val="20"/>
          <w:lang w:eastAsia="en-GB"/>
        </w:rPr>
        <w:t>omplementary projects include Oxford 1630–1686 and t</w:t>
      </w:r>
      <w:r>
        <w:rPr>
          <w:rFonts w:ascii="Garamond" w:eastAsia="Times New Roman" w:hAnsi="Garamond" w:cs="Times New Roman"/>
          <w:color w:val="444444"/>
          <w:sz w:val="20"/>
          <w:szCs w:val="20"/>
          <w:lang w:eastAsia="en-GB"/>
        </w:rPr>
        <w:t xml:space="preserve">he French church at Westminster. </w:t>
      </w:r>
      <w:r w:rsidR="00204E02" w:rsidRPr="00204E02">
        <w:rPr>
          <w:rFonts w:ascii="Garamond" w:eastAsia="Times New Roman" w:hAnsi="Garamond" w:cs="Times New Roman"/>
          <w:color w:val="444444"/>
          <w:sz w:val="20"/>
          <w:szCs w:val="20"/>
          <w:lang w:eastAsia="en-GB"/>
        </w:rPr>
        <w:t xml:space="preserve"> </w:t>
      </w:r>
      <w:r>
        <w:rPr>
          <w:rFonts w:ascii="Garamond" w:eastAsia="Times New Roman" w:hAnsi="Garamond" w:cs="Times New Roman"/>
          <w:color w:val="444444"/>
          <w:sz w:val="20"/>
          <w:szCs w:val="20"/>
          <w:lang w:eastAsia="en-GB"/>
        </w:rPr>
        <w:t>She</w:t>
      </w:r>
      <w:r w:rsidR="00204E02" w:rsidRPr="00204E02">
        <w:rPr>
          <w:rFonts w:ascii="Garamond" w:eastAsia="Times New Roman" w:hAnsi="Garamond" w:cs="Times New Roman"/>
          <w:color w:val="444444"/>
          <w:sz w:val="20"/>
          <w:szCs w:val="20"/>
          <w:lang w:eastAsia="en-GB"/>
        </w:rPr>
        <w:t xml:space="preserve"> maintain</w:t>
      </w:r>
      <w:r>
        <w:rPr>
          <w:rFonts w:ascii="Garamond" w:eastAsia="Times New Roman" w:hAnsi="Garamond" w:cs="Times New Roman"/>
          <w:color w:val="444444"/>
          <w:sz w:val="20"/>
          <w:szCs w:val="20"/>
          <w:lang w:eastAsia="en-GB"/>
        </w:rPr>
        <w:t>s</w:t>
      </w:r>
      <w:r w:rsidR="00204E02" w:rsidRPr="00204E02">
        <w:rPr>
          <w:rFonts w:ascii="Garamond" w:eastAsia="Times New Roman" w:hAnsi="Garamond" w:cs="Times New Roman"/>
          <w:color w:val="444444"/>
          <w:sz w:val="20"/>
          <w:szCs w:val="20"/>
          <w:lang w:eastAsia="en-GB"/>
        </w:rPr>
        <w:t xml:space="preserve"> a longstanding interest in Anglo-Swiss relations and in the Pays de Vaud, Switzerland, from the reformation to the revolution of 1798.</w:t>
      </w:r>
      <w:r>
        <w:rPr>
          <w:rFonts w:ascii="Garamond" w:eastAsia="Times New Roman" w:hAnsi="Garamond" w:cs="Times New Roman"/>
          <w:color w:val="444444"/>
          <w:sz w:val="20"/>
          <w:szCs w:val="20"/>
          <w:lang w:eastAsia="en-GB"/>
        </w:rPr>
        <w:t xml:space="preserve"> Other publications include;</w:t>
      </w:r>
      <w:r w:rsidR="00204E02" w:rsidRPr="00204E02">
        <w:rPr>
          <w:rFonts w:ascii="Garamond" w:eastAsia="Times New Roman" w:hAnsi="Garamond" w:cs="Times New Roman"/>
          <w:color w:val="444444"/>
          <w:sz w:val="20"/>
          <w:szCs w:val="20"/>
          <w:lang w:eastAsia="en-GB"/>
        </w:rPr>
        <w:t xml:space="preserve"> ‘Exile, integration and European perspectives: Huguenots in the Pays de Vaud’, in D. J. B. Trim ed.,</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i/>
          <w:iCs/>
          <w:color w:val="444444"/>
          <w:sz w:val="20"/>
          <w:szCs w:val="20"/>
          <w:bdr w:val="none" w:sz="0" w:space="0" w:color="auto" w:frame="1"/>
          <w:lang w:eastAsia="en-GB"/>
        </w:rPr>
        <w:t>The Huguenots: History and Memory in Transnational Context</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color w:val="444444"/>
          <w:sz w:val="20"/>
          <w:szCs w:val="20"/>
          <w:lang w:eastAsia="en-GB"/>
        </w:rPr>
        <w:t>(Brill: Leiden and Boston, 2011); ‘The Jacobean diplomatic fraternity and the protestant cause: Sir Isaac Wake and the view from Savoy’,</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i/>
          <w:iCs/>
          <w:color w:val="444444"/>
          <w:sz w:val="20"/>
          <w:szCs w:val="20"/>
          <w:bdr w:val="none" w:sz="0" w:space="0" w:color="auto" w:frame="1"/>
          <w:lang w:eastAsia="en-GB"/>
        </w:rPr>
        <w:t>English Historical Review</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color w:val="444444"/>
          <w:sz w:val="20"/>
          <w:szCs w:val="20"/>
          <w:lang w:eastAsia="en-GB"/>
        </w:rPr>
        <w:t>cxxi (2006); ‘</w:t>
      </w:r>
      <w:r w:rsidR="00204E02" w:rsidRPr="00204E02">
        <w:rPr>
          <w:rFonts w:ascii="Garamond" w:eastAsia="Times New Roman" w:hAnsi="Garamond" w:cs="Times New Roman"/>
          <w:i/>
          <w:iCs/>
          <w:color w:val="444444"/>
          <w:sz w:val="20"/>
          <w:szCs w:val="20"/>
          <w:bdr w:val="none" w:sz="0" w:space="0" w:color="auto" w:frame="1"/>
          <w:lang w:eastAsia="en-GB"/>
        </w:rPr>
        <w:t>Oxford DNB</w:t>
      </w:r>
      <w:r w:rsidR="00204E02" w:rsidRPr="00204E02">
        <w:rPr>
          <w:rFonts w:ascii="Garamond" w:eastAsia="Times New Roman" w:hAnsi="Garamond" w:cs="Times New Roman"/>
          <w:color w:val="444444"/>
          <w:sz w:val="20"/>
          <w:szCs w:val="20"/>
          <w:lang w:eastAsia="en-GB"/>
        </w:rPr>
        <w:t xml:space="preserve">, the du Moulin connection and the location of the Church of England in the later seventeenth century’ in A. </w:t>
      </w:r>
      <w:proofErr w:type="spellStart"/>
      <w:r w:rsidR="00204E02" w:rsidRPr="00204E02">
        <w:rPr>
          <w:rFonts w:ascii="Garamond" w:eastAsia="Times New Roman" w:hAnsi="Garamond" w:cs="Times New Roman"/>
          <w:color w:val="444444"/>
          <w:sz w:val="20"/>
          <w:szCs w:val="20"/>
          <w:lang w:eastAsia="en-GB"/>
        </w:rPr>
        <w:t>Dunan</w:t>
      </w:r>
      <w:proofErr w:type="spellEnd"/>
      <w:r w:rsidR="00204E02" w:rsidRPr="00204E02">
        <w:rPr>
          <w:rFonts w:ascii="Garamond" w:eastAsia="Times New Roman" w:hAnsi="Garamond" w:cs="Times New Roman"/>
          <w:color w:val="444444"/>
          <w:sz w:val="20"/>
          <w:szCs w:val="20"/>
          <w:lang w:eastAsia="en-GB"/>
        </w:rPr>
        <w:t>-Page ed.,</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i/>
          <w:iCs/>
          <w:color w:val="444444"/>
          <w:sz w:val="20"/>
          <w:szCs w:val="20"/>
          <w:bdr w:val="none" w:sz="0" w:space="0" w:color="auto" w:frame="1"/>
          <w:lang w:eastAsia="en-GB"/>
        </w:rPr>
        <w:t>The Religious Experience of the Huguenots, 1660–1750</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color w:val="444444"/>
          <w:sz w:val="20"/>
          <w:szCs w:val="20"/>
          <w:lang w:eastAsia="en-GB"/>
        </w:rPr>
        <w:t>(</w:t>
      </w:r>
      <w:proofErr w:type="spellStart"/>
      <w:r w:rsidR="00204E02" w:rsidRPr="00204E02">
        <w:rPr>
          <w:rFonts w:ascii="Garamond" w:eastAsia="Times New Roman" w:hAnsi="Garamond" w:cs="Times New Roman"/>
          <w:color w:val="444444"/>
          <w:sz w:val="20"/>
          <w:szCs w:val="20"/>
          <w:lang w:eastAsia="en-GB"/>
        </w:rPr>
        <w:t>Ashgate</w:t>
      </w:r>
      <w:proofErr w:type="spellEnd"/>
      <w:r w:rsidR="00204E02" w:rsidRPr="00204E02">
        <w:rPr>
          <w:rFonts w:ascii="Garamond" w:eastAsia="Times New Roman" w:hAnsi="Garamond" w:cs="Times New Roman"/>
          <w:color w:val="444444"/>
          <w:sz w:val="20"/>
          <w:szCs w:val="20"/>
          <w:lang w:eastAsia="en-GB"/>
        </w:rPr>
        <w:t>, 2006);</w:t>
      </w:r>
      <w:r>
        <w:rPr>
          <w:rFonts w:ascii="Garamond" w:eastAsia="Times New Roman" w:hAnsi="Garamond" w:cs="Times New Roman"/>
          <w:color w:val="444444"/>
          <w:sz w:val="20"/>
          <w:szCs w:val="20"/>
          <w:lang w:eastAsia="en-GB"/>
        </w:rPr>
        <w:t xml:space="preserve"> </w:t>
      </w:r>
      <w:r w:rsidR="00204E02" w:rsidRPr="00204E02">
        <w:rPr>
          <w:rFonts w:ascii="Garamond" w:eastAsia="Times New Roman" w:hAnsi="Garamond" w:cs="Times New Roman"/>
          <w:color w:val="444444"/>
          <w:sz w:val="20"/>
          <w:szCs w:val="20"/>
          <w:lang w:eastAsia="en-GB"/>
        </w:rPr>
        <w:t xml:space="preserve"> ‘La vie </w:t>
      </w:r>
      <w:proofErr w:type="spellStart"/>
      <w:r w:rsidR="00204E02" w:rsidRPr="00204E02">
        <w:rPr>
          <w:rFonts w:ascii="Garamond" w:eastAsia="Times New Roman" w:hAnsi="Garamond" w:cs="Times New Roman"/>
          <w:color w:val="444444"/>
          <w:sz w:val="20"/>
          <w:szCs w:val="20"/>
          <w:lang w:eastAsia="en-GB"/>
        </w:rPr>
        <w:t>religieuse</w:t>
      </w:r>
      <w:proofErr w:type="spellEnd"/>
      <w:r w:rsidR="00204E02" w:rsidRPr="00204E02">
        <w:rPr>
          <w:rFonts w:ascii="Garamond" w:eastAsia="Times New Roman" w:hAnsi="Garamond" w:cs="Times New Roman"/>
          <w:color w:val="444444"/>
          <w:sz w:val="20"/>
          <w:szCs w:val="20"/>
          <w:lang w:eastAsia="en-GB"/>
        </w:rPr>
        <w:t xml:space="preserve"> </w:t>
      </w:r>
      <w:proofErr w:type="spellStart"/>
      <w:r w:rsidR="00204E02" w:rsidRPr="00204E02">
        <w:rPr>
          <w:rFonts w:ascii="Garamond" w:eastAsia="Times New Roman" w:hAnsi="Garamond" w:cs="Times New Roman"/>
          <w:color w:val="444444"/>
          <w:sz w:val="20"/>
          <w:szCs w:val="20"/>
          <w:lang w:eastAsia="en-GB"/>
        </w:rPr>
        <w:t>en</w:t>
      </w:r>
      <w:proofErr w:type="spellEnd"/>
      <w:r w:rsidR="00204E02" w:rsidRPr="00204E02">
        <w:rPr>
          <w:rFonts w:ascii="Garamond" w:eastAsia="Times New Roman" w:hAnsi="Garamond" w:cs="Times New Roman"/>
          <w:color w:val="444444"/>
          <w:sz w:val="20"/>
          <w:szCs w:val="20"/>
          <w:lang w:eastAsia="en-GB"/>
        </w:rPr>
        <w:t xml:space="preserve"> pays de Vaud et le </w:t>
      </w:r>
      <w:proofErr w:type="spellStart"/>
      <w:r w:rsidR="00204E02" w:rsidRPr="00204E02">
        <w:rPr>
          <w:rFonts w:ascii="Garamond" w:eastAsia="Times New Roman" w:hAnsi="Garamond" w:cs="Times New Roman"/>
          <w:color w:val="444444"/>
          <w:sz w:val="20"/>
          <w:szCs w:val="20"/>
          <w:lang w:eastAsia="en-GB"/>
        </w:rPr>
        <w:t>contexte</w:t>
      </w:r>
      <w:proofErr w:type="spellEnd"/>
      <w:r w:rsidR="00204E02" w:rsidRPr="00204E02">
        <w:rPr>
          <w:rFonts w:ascii="Garamond" w:eastAsia="Times New Roman" w:hAnsi="Garamond" w:cs="Times New Roman"/>
          <w:color w:val="444444"/>
          <w:sz w:val="20"/>
          <w:szCs w:val="20"/>
          <w:lang w:eastAsia="en-GB"/>
        </w:rPr>
        <w:t xml:space="preserve"> </w:t>
      </w:r>
      <w:proofErr w:type="spellStart"/>
      <w:r w:rsidR="00204E02" w:rsidRPr="00204E02">
        <w:rPr>
          <w:rFonts w:ascii="Garamond" w:eastAsia="Times New Roman" w:hAnsi="Garamond" w:cs="Times New Roman"/>
          <w:color w:val="444444"/>
          <w:sz w:val="20"/>
          <w:szCs w:val="20"/>
          <w:lang w:eastAsia="en-GB"/>
        </w:rPr>
        <w:t>européen</w:t>
      </w:r>
      <w:proofErr w:type="spellEnd"/>
      <w:r w:rsidR="00204E02" w:rsidRPr="00204E02">
        <w:rPr>
          <w:rFonts w:ascii="Garamond" w:eastAsia="Times New Roman" w:hAnsi="Garamond" w:cs="Times New Roman"/>
          <w:color w:val="444444"/>
          <w:sz w:val="20"/>
          <w:szCs w:val="20"/>
          <w:lang w:eastAsia="en-GB"/>
        </w:rPr>
        <w:t xml:space="preserve">’ in F. </w:t>
      </w:r>
      <w:proofErr w:type="spellStart"/>
      <w:r w:rsidR="00204E02" w:rsidRPr="00204E02">
        <w:rPr>
          <w:rFonts w:ascii="Garamond" w:eastAsia="Times New Roman" w:hAnsi="Garamond" w:cs="Times New Roman"/>
          <w:color w:val="444444"/>
          <w:sz w:val="20"/>
          <w:szCs w:val="20"/>
          <w:lang w:eastAsia="en-GB"/>
        </w:rPr>
        <w:t>Flouck</w:t>
      </w:r>
      <w:proofErr w:type="spellEnd"/>
      <w:r w:rsidR="00204E02" w:rsidRPr="00204E02">
        <w:rPr>
          <w:rFonts w:ascii="Garamond" w:eastAsia="Times New Roman" w:hAnsi="Garamond" w:cs="Times New Roman"/>
          <w:color w:val="444444"/>
          <w:sz w:val="20"/>
          <w:szCs w:val="20"/>
          <w:lang w:eastAsia="en-GB"/>
        </w:rPr>
        <w:t xml:space="preserve">, P.-R </w:t>
      </w:r>
      <w:proofErr w:type="spellStart"/>
      <w:r w:rsidR="00204E02" w:rsidRPr="00204E02">
        <w:rPr>
          <w:rFonts w:ascii="Garamond" w:eastAsia="Times New Roman" w:hAnsi="Garamond" w:cs="Times New Roman"/>
          <w:color w:val="444444"/>
          <w:sz w:val="20"/>
          <w:szCs w:val="20"/>
          <w:lang w:eastAsia="en-GB"/>
        </w:rPr>
        <w:t>Monbaron</w:t>
      </w:r>
      <w:proofErr w:type="spellEnd"/>
      <w:r w:rsidR="00204E02" w:rsidRPr="00204E02">
        <w:rPr>
          <w:rFonts w:ascii="Garamond" w:eastAsia="Times New Roman" w:hAnsi="Garamond" w:cs="Times New Roman"/>
          <w:color w:val="444444"/>
          <w:sz w:val="20"/>
          <w:szCs w:val="20"/>
          <w:lang w:eastAsia="en-GB"/>
        </w:rPr>
        <w:t xml:space="preserve">, M. </w:t>
      </w:r>
      <w:proofErr w:type="spellStart"/>
      <w:r w:rsidR="00204E02" w:rsidRPr="00204E02">
        <w:rPr>
          <w:rFonts w:ascii="Garamond" w:eastAsia="Times New Roman" w:hAnsi="Garamond" w:cs="Times New Roman"/>
          <w:color w:val="444444"/>
          <w:sz w:val="20"/>
          <w:szCs w:val="20"/>
          <w:lang w:eastAsia="en-GB"/>
        </w:rPr>
        <w:t>Stubenvoll</w:t>
      </w:r>
      <w:proofErr w:type="spellEnd"/>
      <w:r w:rsidR="00204E02" w:rsidRPr="00204E02">
        <w:rPr>
          <w:rFonts w:ascii="Garamond" w:eastAsia="Times New Roman" w:hAnsi="Garamond" w:cs="Times New Roman"/>
          <w:color w:val="444444"/>
          <w:sz w:val="20"/>
          <w:szCs w:val="20"/>
          <w:lang w:eastAsia="en-GB"/>
        </w:rPr>
        <w:t xml:space="preserve"> and D. </w:t>
      </w:r>
      <w:proofErr w:type="spellStart"/>
      <w:r w:rsidR="00204E02" w:rsidRPr="00204E02">
        <w:rPr>
          <w:rFonts w:ascii="Garamond" w:eastAsia="Times New Roman" w:hAnsi="Garamond" w:cs="Times New Roman"/>
          <w:color w:val="444444"/>
          <w:sz w:val="20"/>
          <w:szCs w:val="20"/>
          <w:lang w:eastAsia="en-GB"/>
        </w:rPr>
        <w:t>Tosato-Rigo</w:t>
      </w:r>
      <w:proofErr w:type="spellEnd"/>
      <w:r w:rsidR="00204E02" w:rsidRPr="00204E02">
        <w:rPr>
          <w:rFonts w:ascii="Garamond" w:eastAsia="Times New Roman" w:hAnsi="Garamond" w:cs="Times New Roman"/>
          <w:color w:val="444444"/>
          <w:sz w:val="20"/>
          <w:szCs w:val="20"/>
          <w:lang w:eastAsia="en-GB"/>
        </w:rPr>
        <w:t xml:space="preserve"> eds.,</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i/>
          <w:iCs/>
          <w:color w:val="444444"/>
          <w:sz w:val="20"/>
          <w:szCs w:val="20"/>
          <w:bdr w:val="none" w:sz="0" w:space="0" w:color="auto" w:frame="1"/>
          <w:lang w:eastAsia="en-GB"/>
        </w:rPr>
        <w:t xml:space="preserve">De </w:t>
      </w:r>
      <w:proofErr w:type="spellStart"/>
      <w:r w:rsidR="00204E02" w:rsidRPr="00204E02">
        <w:rPr>
          <w:rFonts w:ascii="Garamond" w:eastAsia="Times New Roman" w:hAnsi="Garamond" w:cs="Times New Roman"/>
          <w:i/>
          <w:iCs/>
          <w:color w:val="444444"/>
          <w:sz w:val="20"/>
          <w:szCs w:val="20"/>
          <w:bdr w:val="none" w:sz="0" w:space="0" w:color="auto" w:frame="1"/>
          <w:lang w:eastAsia="en-GB"/>
        </w:rPr>
        <w:t>L’Ours</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à la </w:t>
      </w:r>
      <w:proofErr w:type="spellStart"/>
      <w:r w:rsidR="00204E02" w:rsidRPr="00204E02">
        <w:rPr>
          <w:rFonts w:ascii="Garamond" w:eastAsia="Times New Roman" w:hAnsi="Garamond" w:cs="Times New Roman"/>
          <w:i/>
          <w:iCs/>
          <w:color w:val="444444"/>
          <w:sz w:val="20"/>
          <w:szCs w:val="20"/>
          <w:bdr w:val="none" w:sz="0" w:space="0" w:color="auto" w:frame="1"/>
          <w:lang w:eastAsia="en-GB"/>
        </w:rPr>
        <w:t>Cocarde</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w:t>
      </w:r>
      <w:proofErr w:type="spellStart"/>
      <w:r w:rsidR="00204E02" w:rsidRPr="00204E02">
        <w:rPr>
          <w:rFonts w:ascii="Garamond" w:eastAsia="Times New Roman" w:hAnsi="Garamond" w:cs="Times New Roman"/>
          <w:i/>
          <w:iCs/>
          <w:color w:val="444444"/>
          <w:sz w:val="20"/>
          <w:szCs w:val="20"/>
          <w:bdr w:val="none" w:sz="0" w:space="0" w:color="auto" w:frame="1"/>
          <w:lang w:eastAsia="en-GB"/>
        </w:rPr>
        <w:t>régime</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w:t>
      </w:r>
      <w:proofErr w:type="spellStart"/>
      <w:r w:rsidR="00204E02" w:rsidRPr="00204E02">
        <w:rPr>
          <w:rFonts w:ascii="Garamond" w:eastAsia="Times New Roman" w:hAnsi="Garamond" w:cs="Times New Roman"/>
          <w:i/>
          <w:iCs/>
          <w:color w:val="444444"/>
          <w:sz w:val="20"/>
          <w:szCs w:val="20"/>
          <w:bdr w:val="none" w:sz="0" w:space="0" w:color="auto" w:frame="1"/>
          <w:lang w:eastAsia="en-GB"/>
        </w:rPr>
        <w:t>bernois</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et </w:t>
      </w:r>
      <w:proofErr w:type="spellStart"/>
      <w:r w:rsidR="00204E02" w:rsidRPr="00204E02">
        <w:rPr>
          <w:rFonts w:ascii="Garamond" w:eastAsia="Times New Roman" w:hAnsi="Garamond" w:cs="Times New Roman"/>
          <w:i/>
          <w:iCs/>
          <w:color w:val="444444"/>
          <w:sz w:val="20"/>
          <w:szCs w:val="20"/>
          <w:bdr w:val="none" w:sz="0" w:space="0" w:color="auto" w:frame="1"/>
          <w:lang w:eastAsia="en-GB"/>
        </w:rPr>
        <w:t>révolution</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w:t>
      </w:r>
      <w:proofErr w:type="spellStart"/>
      <w:r w:rsidR="00204E02" w:rsidRPr="00204E02">
        <w:rPr>
          <w:rFonts w:ascii="Garamond" w:eastAsia="Times New Roman" w:hAnsi="Garamond" w:cs="Times New Roman"/>
          <w:i/>
          <w:iCs/>
          <w:color w:val="444444"/>
          <w:sz w:val="20"/>
          <w:szCs w:val="20"/>
          <w:bdr w:val="none" w:sz="0" w:space="0" w:color="auto" w:frame="1"/>
          <w:lang w:eastAsia="en-GB"/>
        </w:rPr>
        <w:t>en</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pays de Vaud (1536-1798)</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color w:val="444444"/>
          <w:sz w:val="20"/>
          <w:szCs w:val="20"/>
          <w:lang w:eastAsia="en-GB"/>
        </w:rPr>
        <w:t>(</w:t>
      </w:r>
      <w:proofErr w:type="spellStart"/>
      <w:r w:rsidR="00204E02" w:rsidRPr="00204E02">
        <w:rPr>
          <w:rFonts w:ascii="Garamond" w:eastAsia="Times New Roman" w:hAnsi="Garamond" w:cs="Times New Roman"/>
          <w:color w:val="444444"/>
          <w:sz w:val="20"/>
          <w:szCs w:val="20"/>
          <w:lang w:eastAsia="en-GB"/>
        </w:rPr>
        <w:t>Payot</w:t>
      </w:r>
      <w:proofErr w:type="spellEnd"/>
      <w:r w:rsidR="00204E02" w:rsidRPr="00204E02">
        <w:rPr>
          <w:rFonts w:ascii="Garamond" w:eastAsia="Times New Roman" w:hAnsi="Garamond" w:cs="Times New Roman"/>
          <w:color w:val="444444"/>
          <w:sz w:val="20"/>
          <w:szCs w:val="20"/>
          <w:lang w:eastAsia="en-GB"/>
        </w:rPr>
        <w:t>: Lausanne, 1998);</w:t>
      </w:r>
      <w:r w:rsidR="00204E02" w:rsidRPr="00204E02">
        <w:rPr>
          <w:rFonts w:ascii="Garamond" w:eastAsia="Times New Roman" w:hAnsi="Garamond" w:cs="Times New Roman"/>
          <w:i/>
          <w:iCs/>
          <w:color w:val="444444"/>
          <w:sz w:val="20"/>
          <w:szCs w:val="20"/>
          <w:bdr w:val="none" w:sz="0" w:space="0" w:color="auto" w:frame="1"/>
          <w:lang w:eastAsia="en-GB"/>
        </w:rPr>
        <w:t xml:space="preserve"> Wealth, Kinship and Culture: the seventeenth century </w:t>
      </w:r>
      <w:proofErr w:type="spellStart"/>
      <w:r w:rsidR="00204E02" w:rsidRPr="00204E02">
        <w:rPr>
          <w:rFonts w:ascii="Garamond" w:eastAsia="Times New Roman" w:hAnsi="Garamond" w:cs="Times New Roman"/>
          <w:i/>
          <w:iCs/>
          <w:color w:val="444444"/>
          <w:sz w:val="20"/>
          <w:szCs w:val="20"/>
          <w:bdr w:val="none" w:sz="0" w:space="0" w:color="auto" w:frame="1"/>
          <w:lang w:eastAsia="en-GB"/>
        </w:rPr>
        <w:t>Newdigates</w:t>
      </w:r>
      <w:proofErr w:type="spellEnd"/>
      <w:r w:rsidR="00204E02" w:rsidRPr="00204E02">
        <w:rPr>
          <w:rFonts w:ascii="Garamond" w:eastAsia="Times New Roman" w:hAnsi="Garamond" w:cs="Times New Roman"/>
          <w:i/>
          <w:iCs/>
          <w:color w:val="444444"/>
          <w:sz w:val="20"/>
          <w:szCs w:val="20"/>
          <w:bdr w:val="none" w:sz="0" w:space="0" w:color="auto" w:frame="1"/>
          <w:lang w:eastAsia="en-GB"/>
        </w:rPr>
        <w:t xml:space="preserve"> of Arbury and their world</w:t>
      </w:r>
      <w:r w:rsidR="00204E02" w:rsidRPr="00B87387">
        <w:rPr>
          <w:rFonts w:ascii="Garamond" w:eastAsia="Times New Roman" w:hAnsi="Garamond" w:cs="Times New Roman"/>
          <w:color w:val="444444"/>
          <w:sz w:val="20"/>
          <w:szCs w:val="20"/>
          <w:lang w:eastAsia="en-GB"/>
        </w:rPr>
        <w:t> </w:t>
      </w:r>
      <w:r w:rsidR="00204E02" w:rsidRPr="00204E02">
        <w:rPr>
          <w:rFonts w:ascii="Garamond" w:eastAsia="Times New Roman" w:hAnsi="Garamond" w:cs="Times New Roman"/>
          <w:color w:val="444444"/>
          <w:sz w:val="20"/>
          <w:szCs w:val="20"/>
          <w:lang w:eastAsia="en-GB"/>
        </w:rPr>
        <w:t>(</w:t>
      </w:r>
      <w:proofErr w:type="spellStart"/>
      <w:r w:rsidR="00204E02" w:rsidRPr="00204E02">
        <w:rPr>
          <w:rFonts w:ascii="Garamond" w:eastAsia="Times New Roman" w:hAnsi="Garamond" w:cs="Times New Roman"/>
          <w:color w:val="444444"/>
          <w:sz w:val="20"/>
          <w:szCs w:val="20"/>
          <w:lang w:eastAsia="en-GB"/>
        </w:rPr>
        <w:t>Boydell</w:t>
      </w:r>
      <w:proofErr w:type="spellEnd"/>
      <w:r w:rsidR="00204E02" w:rsidRPr="00204E02">
        <w:rPr>
          <w:rFonts w:ascii="Garamond" w:eastAsia="Times New Roman" w:hAnsi="Garamond" w:cs="Times New Roman"/>
          <w:color w:val="444444"/>
          <w:sz w:val="20"/>
          <w:szCs w:val="20"/>
          <w:lang w:eastAsia="en-GB"/>
        </w:rPr>
        <w:t xml:space="preserve"> and Brewer for </w:t>
      </w:r>
      <w:r>
        <w:rPr>
          <w:rFonts w:ascii="Garamond" w:eastAsia="Times New Roman" w:hAnsi="Garamond" w:cs="Times New Roman"/>
          <w:color w:val="444444"/>
          <w:sz w:val="20"/>
          <w:szCs w:val="20"/>
          <w:lang w:eastAsia="en-GB"/>
        </w:rPr>
        <w:t>Royal Historical Society, 1995).</w:t>
      </w:r>
    </w:p>
    <w:p w:rsidR="00D44D86" w:rsidRPr="00204E02" w:rsidRDefault="00D44D86" w:rsidP="00204E02">
      <w:pPr>
        <w:shd w:val="clear" w:color="auto" w:fill="FFFFFF"/>
        <w:spacing w:after="0" w:line="240" w:lineRule="auto"/>
        <w:jc w:val="both"/>
        <w:textAlignment w:val="baseline"/>
        <w:rPr>
          <w:rFonts w:ascii="Garamond" w:eastAsia="Times New Roman" w:hAnsi="Garamond" w:cs="Times New Roman"/>
          <w:color w:val="444444"/>
          <w:sz w:val="20"/>
          <w:szCs w:val="20"/>
          <w:lang w:eastAsia="en-GB"/>
        </w:rPr>
      </w:pPr>
    </w:p>
    <w:p w:rsidR="001F3571" w:rsidRDefault="001F3571" w:rsidP="00937FB2">
      <w:pPr>
        <w:spacing w:after="160" w:line="256" w:lineRule="auto"/>
        <w:rPr>
          <w:rFonts w:ascii="Garamond" w:hAnsi="Garamond" w:cs="Times New Roman"/>
          <w:sz w:val="20"/>
          <w:szCs w:val="20"/>
        </w:rPr>
      </w:pPr>
    </w:p>
    <w:p w:rsidR="000D50FF" w:rsidRDefault="000D50FF" w:rsidP="00937FB2">
      <w:pPr>
        <w:spacing w:after="160" w:line="256" w:lineRule="auto"/>
        <w:rPr>
          <w:rFonts w:ascii="Garamond" w:hAnsi="Garamond" w:cs="Times New Roman"/>
          <w:sz w:val="20"/>
          <w:szCs w:val="20"/>
        </w:rPr>
      </w:pPr>
    </w:p>
    <w:p w:rsidR="000D50FF" w:rsidRDefault="000D50FF" w:rsidP="00937FB2">
      <w:pPr>
        <w:spacing w:after="160" w:line="256" w:lineRule="auto"/>
        <w:rPr>
          <w:rFonts w:ascii="Garamond" w:hAnsi="Garamond" w:cs="Times New Roman"/>
          <w:sz w:val="20"/>
          <w:szCs w:val="20"/>
        </w:rPr>
      </w:pPr>
    </w:p>
    <w:p w:rsidR="000D50FF" w:rsidRDefault="000D50FF" w:rsidP="00937FB2">
      <w:pPr>
        <w:spacing w:after="160" w:line="256" w:lineRule="auto"/>
        <w:rPr>
          <w:rFonts w:ascii="Garamond" w:hAnsi="Garamond" w:cs="Times New Roman"/>
          <w:sz w:val="20"/>
          <w:szCs w:val="20"/>
        </w:rPr>
      </w:pPr>
    </w:p>
    <w:p w:rsidR="000D50FF" w:rsidRDefault="000D50FF" w:rsidP="00937FB2">
      <w:pPr>
        <w:spacing w:after="160" w:line="256" w:lineRule="auto"/>
        <w:rPr>
          <w:rFonts w:ascii="Garamond" w:hAnsi="Garamond" w:cs="Times New Roman"/>
          <w:sz w:val="20"/>
          <w:szCs w:val="20"/>
        </w:rPr>
      </w:pPr>
    </w:p>
    <w:p w:rsidR="00DE5123" w:rsidRPr="00B87387" w:rsidRDefault="00E47F80" w:rsidP="00DE5123">
      <w:pPr>
        <w:rPr>
          <w:rFonts w:ascii="Garamond" w:hAnsi="Garamond"/>
          <w:b/>
          <w:sz w:val="20"/>
          <w:szCs w:val="20"/>
        </w:rPr>
      </w:pPr>
      <w:r w:rsidRPr="00B87387">
        <w:rPr>
          <w:rFonts w:ascii="Garamond" w:hAnsi="Garamond"/>
          <w:b/>
          <w:sz w:val="20"/>
          <w:szCs w:val="20"/>
        </w:rPr>
        <w:lastRenderedPageBreak/>
        <w:t xml:space="preserve">15.00 </w:t>
      </w:r>
      <w:r w:rsidRPr="00B87387">
        <w:rPr>
          <w:rFonts w:ascii="Garamond" w:hAnsi="Garamond"/>
          <w:b/>
          <w:sz w:val="20"/>
          <w:szCs w:val="20"/>
        </w:rPr>
        <w:tab/>
      </w:r>
      <w:r w:rsidR="00DE5123" w:rsidRPr="00B87387">
        <w:rPr>
          <w:rFonts w:ascii="Garamond" w:hAnsi="Garamond"/>
          <w:b/>
          <w:sz w:val="20"/>
          <w:szCs w:val="20"/>
        </w:rPr>
        <w:t>‘Permanent and inviolable’: Oliver Cromwell and the idea of Anglo-Dutch Union in 1653</w:t>
      </w:r>
    </w:p>
    <w:p w:rsidR="00B87387" w:rsidRPr="00B87387" w:rsidRDefault="00B87387" w:rsidP="00DE5123">
      <w:pPr>
        <w:rPr>
          <w:rFonts w:ascii="Garamond" w:hAnsi="Garamond"/>
          <w:b/>
          <w:sz w:val="20"/>
          <w:szCs w:val="20"/>
        </w:rPr>
      </w:pPr>
      <w:r w:rsidRPr="00B87387">
        <w:rPr>
          <w:rFonts w:ascii="Garamond" w:hAnsi="Garamond"/>
          <w:b/>
          <w:noProof/>
          <w:sz w:val="20"/>
          <w:szCs w:val="20"/>
          <w:lang w:eastAsia="en-GB"/>
        </w:rPr>
        <w:drawing>
          <wp:inline distT="0" distB="0" distL="0" distR="0" wp14:anchorId="5121EA40" wp14:editId="1D248932">
            <wp:extent cx="1409700" cy="188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y.jpg"/>
                    <pic:cNvPicPr/>
                  </pic:nvPicPr>
                  <pic:blipFill>
                    <a:blip r:embed="rId12">
                      <a:extLst>
                        <a:ext uri="{28A0092B-C50C-407E-A947-70E740481C1C}">
                          <a14:useLocalDpi xmlns:a14="http://schemas.microsoft.com/office/drawing/2010/main" val="0"/>
                        </a:ext>
                      </a:extLst>
                    </a:blip>
                    <a:stretch>
                      <a:fillRect/>
                    </a:stretch>
                  </pic:blipFill>
                  <pic:spPr>
                    <a:xfrm>
                      <a:off x="0" y="0"/>
                      <a:ext cx="1409700" cy="1885950"/>
                    </a:xfrm>
                    <a:prstGeom prst="rect">
                      <a:avLst/>
                    </a:prstGeom>
                  </pic:spPr>
                </pic:pic>
              </a:graphicData>
            </a:graphic>
          </wp:inline>
        </w:drawing>
      </w:r>
    </w:p>
    <w:p w:rsidR="00DE5123" w:rsidRPr="00B87387" w:rsidRDefault="00DE5123" w:rsidP="00DE5123">
      <w:pPr>
        <w:rPr>
          <w:rFonts w:ascii="Garamond" w:eastAsia="Times New Roman" w:hAnsi="Garamond" w:cs="Times New Roman"/>
          <w:sz w:val="20"/>
          <w:szCs w:val="20"/>
        </w:rPr>
      </w:pPr>
      <w:r w:rsidRPr="00D44D86">
        <w:rPr>
          <w:rFonts w:ascii="Garamond" w:hAnsi="Garamond"/>
          <w:b/>
          <w:sz w:val="20"/>
          <w:szCs w:val="20"/>
        </w:rPr>
        <w:t xml:space="preserve">Jason </w:t>
      </w:r>
      <w:proofErr w:type="spellStart"/>
      <w:r w:rsidRPr="00D44D86">
        <w:rPr>
          <w:rFonts w:ascii="Garamond" w:hAnsi="Garamond"/>
          <w:b/>
          <w:sz w:val="20"/>
          <w:szCs w:val="20"/>
        </w:rPr>
        <w:t>Peacey</w:t>
      </w:r>
      <w:proofErr w:type="spellEnd"/>
      <w:r w:rsidRPr="00D44D86">
        <w:rPr>
          <w:rFonts w:ascii="Garamond" w:hAnsi="Garamond"/>
          <w:b/>
          <w:sz w:val="20"/>
          <w:szCs w:val="20"/>
        </w:rPr>
        <w:t>,</w:t>
      </w:r>
      <w:r w:rsidRPr="00B87387">
        <w:rPr>
          <w:rFonts w:ascii="Garamond" w:hAnsi="Garamond"/>
          <w:sz w:val="20"/>
          <w:szCs w:val="20"/>
        </w:rPr>
        <w:t xml:space="preserve"> Professor of Early Modern British History at UCL</w:t>
      </w:r>
    </w:p>
    <w:p w:rsidR="00B87387" w:rsidRPr="00B87387" w:rsidRDefault="00B87387" w:rsidP="00B87387">
      <w:pPr>
        <w:contextualSpacing/>
        <w:rPr>
          <w:rFonts w:ascii="Garamond" w:hAnsi="Garamond"/>
          <w:sz w:val="20"/>
          <w:szCs w:val="20"/>
        </w:rPr>
      </w:pPr>
      <w:r w:rsidRPr="00B87387">
        <w:rPr>
          <w:rFonts w:ascii="Garamond" w:hAnsi="Garamond"/>
          <w:sz w:val="20"/>
          <w:szCs w:val="20"/>
        </w:rPr>
        <w:t xml:space="preserve">Historians of international relations are apt to focus on warfare and </w:t>
      </w:r>
      <w:proofErr w:type="spellStart"/>
      <w:r w:rsidRPr="00B87387">
        <w:rPr>
          <w:rFonts w:ascii="Garamond" w:hAnsi="Garamond"/>
          <w:sz w:val="20"/>
          <w:szCs w:val="20"/>
        </w:rPr>
        <w:t>peacemaking</w:t>
      </w:r>
      <w:proofErr w:type="spellEnd"/>
      <w:r w:rsidRPr="00B87387">
        <w:rPr>
          <w:rFonts w:ascii="Garamond" w:hAnsi="Garamond"/>
          <w:sz w:val="20"/>
          <w:szCs w:val="20"/>
        </w:rPr>
        <w:t xml:space="preserve"> rather than on cooperation between states, and historians of the seventeenth century have been apt to focus on tensions between England and the Dutch Republic rather than on the possibility for their working together in harmony, at least if this meant anything more than strategic alliances which aimed – in the years following the peace of Westphalia – at countering the threat from powerful neighbours and achieving a ‘balance of power’. It has been too easy, therefore, to concentrate upon Anglo-Dutch conflict in the early 1650s, and on the debate about whether this stemmed from economic competition or apocalyptical republicanism. This paper seeks to focus instead on Cromwell’s ideas about, and proposals for, an Anglo-Dutch </w:t>
      </w:r>
      <w:r w:rsidRPr="00B87387">
        <w:rPr>
          <w:rFonts w:ascii="Garamond" w:hAnsi="Garamond"/>
          <w:i/>
          <w:sz w:val="20"/>
          <w:szCs w:val="20"/>
        </w:rPr>
        <w:t>union</w:t>
      </w:r>
      <w:r w:rsidRPr="00B87387">
        <w:rPr>
          <w:rFonts w:ascii="Garamond" w:hAnsi="Garamond"/>
          <w:sz w:val="20"/>
          <w:szCs w:val="20"/>
        </w:rPr>
        <w:t xml:space="preserve"> in 1653, not least in a context in which a growing number of English commentators looked admiringly at Dutch economic, political and religious culture.  </w:t>
      </w:r>
    </w:p>
    <w:p w:rsidR="00B87387" w:rsidRPr="00B87387" w:rsidRDefault="00B87387" w:rsidP="00B87387">
      <w:pPr>
        <w:contextualSpacing/>
        <w:rPr>
          <w:rFonts w:ascii="Garamond" w:hAnsi="Garamond"/>
          <w:sz w:val="20"/>
          <w:szCs w:val="20"/>
        </w:rPr>
      </w:pPr>
    </w:p>
    <w:p w:rsidR="00B87387" w:rsidRDefault="00B87387" w:rsidP="00B87387">
      <w:pPr>
        <w:rPr>
          <w:rFonts w:ascii="Garamond" w:hAnsi="Garamond"/>
          <w:sz w:val="20"/>
          <w:szCs w:val="20"/>
        </w:rPr>
      </w:pPr>
      <w:r w:rsidRPr="00D44D86">
        <w:rPr>
          <w:rFonts w:ascii="Garamond" w:hAnsi="Garamond"/>
          <w:b/>
          <w:sz w:val="20"/>
          <w:szCs w:val="20"/>
        </w:rPr>
        <w:t xml:space="preserve">Jason </w:t>
      </w:r>
      <w:proofErr w:type="spellStart"/>
      <w:r w:rsidRPr="00D44D86">
        <w:rPr>
          <w:rFonts w:ascii="Garamond" w:hAnsi="Garamond"/>
          <w:b/>
          <w:sz w:val="20"/>
          <w:szCs w:val="20"/>
        </w:rPr>
        <w:t>Peacey</w:t>
      </w:r>
      <w:proofErr w:type="spellEnd"/>
      <w:r w:rsidRPr="00B87387">
        <w:rPr>
          <w:rFonts w:ascii="Garamond" w:hAnsi="Garamond"/>
          <w:sz w:val="20"/>
          <w:szCs w:val="20"/>
        </w:rPr>
        <w:t xml:space="preserve"> is Professor of Early Modern British History at UCL. He edited </w:t>
      </w:r>
      <w:r w:rsidRPr="00B87387">
        <w:rPr>
          <w:rFonts w:ascii="Garamond" w:hAnsi="Garamond"/>
          <w:i/>
          <w:iCs/>
          <w:sz w:val="20"/>
          <w:szCs w:val="20"/>
        </w:rPr>
        <w:t>The Regicides and the Execution of Charles I</w:t>
      </w:r>
      <w:r w:rsidRPr="00B87387">
        <w:rPr>
          <w:rFonts w:ascii="Garamond" w:hAnsi="Garamond"/>
          <w:sz w:val="20"/>
          <w:szCs w:val="20"/>
        </w:rPr>
        <w:t xml:space="preserve"> (2001) and </w:t>
      </w:r>
      <w:r w:rsidRPr="00B87387">
        <w:rPr>
          <w:rFonts w:ascii="Garamond" w:hAnsi="Garamond"/>
          <w:i/>
          <w:iCs/>
          <w:sz w:val="20"/>
          <w:szCs w:val="20"/>
        </w:rPr>
        <w:t>The Print Culture of Parliament, 1600-1800</w:t>
      </w:r>
      <w:r w:rsidRPr="00B87387">
        <w:rPr>
          <w:rFonts w:ascii="Garamond" w:hAnsi="Garamond"/>
          <w:sz w:val="20"/>
          <w:szCs w:val="20"/>
        </w:rPr>
        <w:t xml:space="preserve"> (2007), and co-</w:t>
      </w:r>
      <w:proofErr w:type="spellStart"/>
      <w:r w:rsidRPr="00B87387">
        <w:rPr>
          <w:rFonts w:ascii="Garamond" w:hAnsi="Garamond"/>
          <w:sz w:val="20"/>
          <w:szCs w:val="20"/>
        </w:rPr>
        <w:t>editod</w:t>
      </w:r>
      <w:proofErr w:type="spellEnd"/>
      <w:r w:rsidRPr="00B87387">
        <w:rPr>
          <w:rFonts w:ascii="Garamond" w:hAnsi="Garamond"/>
          <w:sz w:val="20"/>
          <w:szCs w:val="20"/>
        </w:rPr>
        <w:t xml:space="preserve"> </w:t>
      </w:r>
      <w:r w:rsidRPr="00B87387">
        <w:rPr>
          <w:rFonts w:ascii="Garamond" w:hAnsi="Garamond"/>
          <w:i/>
          <w:iCs/>
          <w:sz w:val="20"/>
          <w:szCs w:val="20"/>
        </w:rPr>
        <w:t>Parliament at Work</w:t>
      </w:r>
      <w:r w:rsidRPr="00B87387">
        <w:rPr>
          <w:rFonts w:ascii="Garamond" w:hAnsi="Garamond"/>
          <w:sz w:val="20"/>
          <w:szCs w:val="20"/>
        </w:rPr>
        <w:t xml:space="preserve"> (2002), and is the author of </w:t>
      </w:r>
      <w:r w:rsidRPr="00B87387">
        <w:rPr>
          <w:rFonts w:ascii="Garamond" w:hAnsi="Garamond"/>
          <w:i/>
          <w:iCs/>
          <w:sz w:val="20"/>
          <w:szCs w:val="20"/>
        </w:rPr>
        <w:t xml:space="preserve">Politicians and Pamphleteers. </w:t>
      </w:r>
      <w:proofErr w:type="gramStart"/>
      <w:r w:rsidRPr="00B87387">
        <w:rPr>
          <w:rFonts w:ascii="Garamond" w:hAnsi="Garamond"/>
          <w:i/>
          <w:iCs/>
          <w:sz w:val="20"/>
          <w:szCs w:val="20"/>
        </w:rPr>
        <w:t>Propaganda in the Civil Wars and Interregnum</w:t>
      </w:r>
      <w:r w:rsidRPr="00B87387">
        <w:rPr>
          <w:rFonts w:ascii="Garamond" w:hAnsi="Garamond"/>
          <w:sz w:val="20"/>
          <w:szCs w:val="20"/>
        </w:rPr>
        <w:t xml:space="preserve"> (2004), and </w:t>
      </w:r>
      <w:r w:rsidRPr="00B87387">
        <w:rPr>
          <w:rFonts w:ascii="Garamond" w:hAnsi="Garamond"/>
          <w:i/>
          <w:sz w:val="20"/>
          <w:szCs w:val="20"/>
        </w:rPr>
        <w:t>Print and Public Politics in the English Revolution</w:t>
      </w:r>
      <w:r w:rsidRPr="00B87387">
        <w:rPr>
          <w:rFonts w:ascii="Garamond" w:hAnsi="Garamond"/>
          <w:sz w:val="20"/>
          <w:szCs w:val="20"/>
        </w:rPr>
        <w:t xml:space="preserve"> (2013).</w:t>
      </w:r>
      <w:proofErr w:type="gramEnd"/>
      <w:r w:rsidRPr="00B87387">
        <w:rPr>
          <w:rFonts w:ascii="Garamond" w:hAnsi="Garamond"/>
          <w:sz w:val="20"/>
          <w:szCs w:val="20"/>
        </w:rPr>
        <w:t xml:space="preserve"> He is currently researching overlapping and interlocking publics in seventeenth century Europe.</w:t>
      </w:r>
    </w:p>
    <w:p w:rsidR="00D44D86" w:rsidRDefault="00D44D86" w:rsidP="00B87387">
      <w:pPr>
        <w:rPr>
          <w:rFonts w:ascii="Garamond" w:hAnsi="Garamond"/>
          <w:sz w:val="20"/>
          <w:szCs w:val="20"/>
        </w:rPr>
      </w:pPr>
    </w:p>
    <w:p w:rsidR="00E47F80" w:rsidRDefault="00E47F80" w:rsidP="00DE5123">
      <w:pPr>
        <w:rPr>
          <w:rFonts w:ascii="Garamond" w:hAnsi="Garamond"/>
          <w:b/>
          <w:sz w:val="20"/>
          <w:szCs w:val="20"/>
        </w:rPr>
      </w:pPr>
      <w:r w:rsidRPr="00B87387">
        <w:rPr>
          <w:rFonts w:ascii="Garamond" w:hAnsi="Garamond"/>
          <w:b/>
          <w:sz w:val="20"/>
          <w:szCs w:val="20"/>
        </w:rPr>
        <w:t>15.45</w:t>
      </w:r>
      <w:r w:rsidRPr="00B87387">
        <w:rPr>
          <w:rFonts w:ascii="Garamond" w:hAnsi="Garamond"/>
          <w:b/>
          <w:sz w:val="20"/>
          <w:szCs w:val="20"/>
        </w:rPr>
        <w:tab/>
        <w:t>Discussion and conclusions</w:t>
      </w:r>
    </w:p>
    <w:p w:rsidR="00D44D86" w:rsidRPr="00B87387" w:rsidRDefault="00D44D86" w:rsidP="00DE5123">
      <w:pPr>
        <w:rPr>
          <w:rFonts w:ascii="Garamond" w:hAnsi="Garamond"/>
          <w:b/>
          <w:sz w:val="20"/>
          <w:szCs w:val="20"/>
        </w:rPr>
      </w:pPr>
    </w:p>
    <w:p w:rsidR="00DE5123" w:rsidRDefault="00E47F80" w:rsidP="00DE5123">
      <w:pPr>
        <w:rPr>
          <w:rFonts w:ascii="Garamond" w:hAnsi="Garamond"/>
          <w:sz w:val="20"/>
          <w:szCs w:val="20"/>
        </w:rPr>
      </w:pPr>
      <w:r w:rsidRPr="00B87387">
        <w:rPr>
          <w:rFonts w:ascii="Garamond" w:hAnsi="Garamond"/>
          <w:b/>
          <w:sz w:val="20"/>
          <w:szCs w:val="20"/>
        </w:rPr>
        <w:t>16.00</w:t>
      </w:r>
      <w:r w:rsidRPr="00B87387">
        <w:rPr>
          <w:rFonts w:ascii="Garamond" w:hAnsi="Garamond"/>
          <w:b/>
          <w:sz w:val="20"/>
          <w:szCs w:val="20"/>
        </w:rPr>
        <w:tab/>
        <w:t>Finish</w:t>
      </w:r>
      <w:r w:rsidR="00DE5123" w:rsidRPr="00B87387">
        <w:rPr>
          <w:rFonts w:ascii="Garamond" w:hAnsi="Garamond"/>
          <w:sz w:val="20"/>
          <w:szCs w:val="20"/>
        </w:rPr>
        <w:t xml:space="preserve"> </w:t>
      </w:r>
    </w:p>
    <w:p w:rsidR="00937FB2" w:rsidRPr="00B87387" w:rsidRDefault="00937FB2">
      <w:pPr>
        <w:rPr>
          <w:rFonts w:ascii="Garamond" w:hAnsi="Garamond"/>
          <w:sz w:val="20"/>
          <w:szCs w:val="20"/>
        </w:rPr>
      </w:pPr>
      <w:bookmarkStart w:id="0" w:name="_GoBack"/>
      <w:bookmarkEnd w:id="0"/>
    </w:p>
    <w:sectPr w:rsidR="00937FB2" w:rsidRPr="00B873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16" w:rsidRDefault="003B6D16" w:rsidP="00937FB2">
      <w:pPr>
        <w:spacing w:after="0" w:line="240" w:lineRule="auto"/>
      </w:pPr>
      <w:r>
        <w:separator/>
      </w:r>
    </w:p>
  </w:endnote>
  <w:endnote w:type="continuationSeparator" w:id="0">
    <w:p w:rsidR="003B6D16" w:rsidRDefault="003B6D16" w:rsidP="0093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16" w:rsidRDefault="003B6D16" w:rsidP="00937FB2">
      <w:pPr>
        <w:spacing w:after="0" w:line="240" w:lineRule="auto"/>
      </w:pPr>
      <w:r>
        <w:separator/>
      </w:r>
    </w:p>
  </w:footnote>
  <w:footnote w:type="continuationSeparator" w:id="0">
    <w:p w:rsidR="003B6D16" w:rsidRDefault="003B6D16" w:rsidP="00937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B2"/>
    <w:rsid w:val="000D50FF"/>
    <w:rsid w:val="000F5EA9"/>
    <w:rsid w:val="001956D4"/>
    <w:rsid w:val="001D4049"/>
    <w:rsid w:val="001F3571"/>
    <w:rsid w:val="00204E02"/>
    <w:rsid w:val="002A1842"/>
    <w:rsid w:val="003B6D16"/>
    <w:rsid w:val="00417A70"/>
    <w:rsid w:val="004C20D7"/>
    <w:rsid w:val="004D0DF4"/>
    <w:rsid w:val="005F2C7A"/>
    <w:rsid w:val="00937FB2"/>
    <w:rsid w:val="00B83B2A"/>
    <w:rsid w:val="00B87387"/>
    <w:rsid w:val="00C80969"/>
    <w:rsid w:val="00D44D86"/>
    <w:rsid w:val="00DE5123"/>
    <w:rsid w:val="00E4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FB2"/>
  </w:style>
  <w:style w:type="paragraph" w:styleId="Footer">
    <w:name w:val="footer"/>
    <w:basedOn w:val="Normal"/>
    <w:link w:val="FooterChar"/>
    <w:uiPriority w:val="99"/>
    <w:unhideWhenUsed/>
    <w:rsid w:val="0093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B2"/>
  </w:style>
  <w:style w:type="character" w:styleId="Hyperlink">
    <w:name w:val="Hyperlink"/>
    <w:basedOn w:val="DefaultParagraphFont"/>
    <w:uiPriority w:val="99"/>
    <w:unhideWhenUsed/>
    <w:rsid w:val="001F3571"/>
    <w:rPr>
      <w:color w:val="0000FF" w:themeColor="hyperlink"/>
      <w:u w:val="single"/>
    </w:rPr>
  </w:style>
  <w:style w:type="paragraph" w:styleId="BalloonText">
    <w:name w:val="Balloon Text"/>
    <w:basedOn w:val="Normal"/>
    <w:link w:val="BalloonTextChar"/>
    <w:uiPriority w:val="99"/>
    <w:semiHidden/>
    <w:unhideWhenUsed/>
    <w:rsid w:val="0020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FB2"/>
  </w:style>
  <w:style w:type="paragraph" w:styleId="Footer">
    <w:name w:val="footer"/>
    <w:basedOn w:val="Normal"/>
    <w:link w:val="FooterChar"/>
    <w:uiPriority w:val="99"/>
    <w:unhideWhenUsed/>
    <w:rsid w:val="0093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FB2"/>
  </w:style>
  <w:style w:type="character" w:styleId="Hyperlink">
    <w:name w:val="Hyperlink"/>
    <w:basedOn w:val="DefaultParagraphFont"/>
    <w:uiPriority w:val="99"/>
    <w:unhideWhenUsed/>
    <w:rsid w:val="001F3571"/>
    <w:rPr>
      <w:color w:val="0000FF" w:themeColor="hyperlink"/>
      <w:u w:val="single"/>
    </w:rPr>
  </w:style>
  <w:style w:type="paragraph" w:styleId="BalloonText">
    <w:name w:val="Balloon Text"/>
    <w:basedOn w:val="Normal"/>
    <w:link w:val="BalloonTextChar"/>
    <w:uiPriority w:val="99"/>
    <w:semiHidden/>
    <w:unhideWhenUsed/>
    <w:rsid w:val="0020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8517">
      <w:bodyDiv w:val="1"/>
      <w:marLeft w:val="0"/>
      <w:marRight w:val="0"/>
      <w:marTop w:val="0"/>
      <w:marBottom w:val="0"/>
      <w:divBdr>
        <w:top w:val="none" w:sz="0" w:space="0" w:color="auto"/>
        <w:left w:val="none" w:sz="0" w:space="0" w:color="auto"/>
        <w:bottom w:val="none" w:sz="0" w:space="0" w:color="auto"/>
        <w:right w:val="none" w:sz="0" w:space="0" w:color="auto"/>
      </w:divBdr>
      <w:divsChild>
        <w:div w:id="1932738525">
          <w:marLeft w:val="0"/>
          <w:marRight w:val="0"/>
          <w:marTop w:val="0"/>
          <w:marBottom w:val="0"/>
          <w:divBdr>
            <w:top w:val="none" w:sz="0" w:space="0" w:color="auto"/>
            <w:left w:val="none" w:sz="0" w:space="0" w:color="auto"/>
            <w:bottom w:val="none" w:sz="0" w:space="0" w:color="auto"/>
            <w:right w:val="none" w:sz="0" w:space="0" w:color="auto"/>
          </w:divBdr>
          <w:divsChild>
            <w:div w:id="15737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4784">
      <w:bodyDiv w:val="1"/>
      <w:marLeft w:val="0"/>
      <w:marRight w:val="0"/>
      <w:marTop w:val="0"/>
      <w:marBottom w:val="0"/>
      <w:divBdr>
        <w:top w:val="none" w:sz="0" w:space="0" w:color="auto"/>
        <w:left w:val="none" w:sz="0" w:space="0" w:color="auto"/>
        <w:bottom w:val="none" w:sz="0" w:space="0" w:color="auto"/>
        <w:right w:val="none" w:sz="0" w:space="0" w:color="auto"/>
      </w:divBdr>
      <w:divsChild>
        <w:div w:id="45221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744108">
              <w:marLeft w:val="0"/>
              <w:marRight w:val="0"/>
              <w:marTop w:val="0"/>
              <w:marBottom w:val="0"/>
              <w:divBdr>
                <w:top w:val="none" w:sz="0" w:space="0" w:color="auto"/>
                <w:left w:val="none" w:sz="0" w:space="0" w:color="auto"/>
                <w:bottom w:val="none" w:sz="0" w:space="0" w:color="auto"/>
                <w:right w:val="none" w:sz="0" w:space="0" w:color="auto"/>
              </w:divBdr>
              <w:divsChild>
                <w:div w:id="966395848">
                  <w:marLeft w:val="0"/>
                  <w:marRight w:val="0"/>
                  <w:marTop w:val="0"/>
                  <w:marBottom w:val="0"/>
                  <w:divBdr>
                    <w:top w:val="none" w:sz="0" w:space="0" w:color="auto"/>
                    <w:left w:val="none" w:sz="0" w:space="0" w:color="auto"/>
                    <w:bottom w:val="none" w:sz="0" w:space="0" w:color="auto"/>
                    <w:right w:val="none" w:sz="0" w:space="0" w:color="auto"/>
                  </w:divBdr>
                  <w:divsChild>
                    <w:div w:id="1160072746">
                      <w:marLeft w:val="0"/>
                      <w:marRight w:val="0"/>
                      <w:marTop w:val="0"/>
                      <w:marBottom w:val="0"/>
                      <w:divBdr>
                        <w:top w:val="none" w:sz="0" w:space="0" w:color="auto"/>
                        <w:left w:val="none" w:sz="0" w:space="0" w:color="auto"/>
                        <w:bottom w:val="none" w:sz="0" w:space="0" w:color="auto"/>
                        <w:right w:val="none" w:sz="0" w:space="0" w:color="auto"/>
                      </w:divBdr>
                      <w:divsChild>
                        <w:div w:id="1920872199">
                          <w:marLeft w:val="0"/>
                          <w:marRight w:val="0"/>
                          <w:marTop w:val="0"/>
                          <w:marBottom w:val="0"/>
                          <w:divBdr>
                            <w:top w:val="none" w:sz="0" w:space="0" w:color="auto"/>
                            <w:left w:val="none" w:sz="0" w:space="0" w:color="auto"/>
                            <w:bottom w:val="none" w:sz="0" w:space="0" w:color="auto"/>
                            <w:right w:val="none" w:sz="0" w:space="0" w:color="auto"/>
                          </w:divBdr>
                          <w:divsChild>
                            <w:div w:id="1361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9307">
      <w:bodyDiv w:val="1"/>
      <w:marLeft w:val="0"/>
      <w:marRight w:val="0"/>
      <w:marTop w:val="0"/>
      <w:marBottom w:val="0"/>
      <w:divBdr>
        <w:top w:val="none" w:sz="0" w:space="0" w:color="auto"/>
        <w:left w:val="none" w:sz="0" w:space="0" w:color="auto"/>
        <w:bottom w:val="none" w:sz="0" w:space="0" w:color="auto"/>
        <w:right w:val="none" w:sz="0" w:space="0" w:color="auto"/>
      </w:divBdr>
    </w:div>
    <w:div w:id="14024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ECBD-F8A4-49DB-BC66-A6439B59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Goldsmith</dc:creator>
  <cp:lastModifiedBy>Goldsmith</cp:lastModifiedBy>
  <cp:revision>3</cp:revision>
  <cp:lastPrinted>2017-05-29T14:24:00Z</cp:lastPrinted>
  <dcterms:created xsi:type="dcterms:W3CDTF">2017-06-21T16:09:00Z</dcterms:created>
  <dcterms:modified xsi:type="dcterms:W3CDTF">2017-06-21T16:09:00Z</dcterms:modified>
</cp:coreProperties>
</file>